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3.xml" ContentType="application/vnd.openxmlformats-officedocument.drawingml.chart+xml"/>
  <Override PartName="/word/theme/themeOverride2.xml" ContentType="application/vnd.openxmlformats-officedocument.themeOverride+xml"/>
  <Override PartName="/word/drawings/drawing2.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91E" w:rsidRDefault="0066191E" w:rsidP="0066191E">
      <w:pPr>
        <w:jc w:val="center"/>
        <w:rPr>
          <w:rFonts w:ascii="Times New Roman" w:hAnsi="Times New Roman" w:cs="Times New Roman"/>
          <w:b/>
          <w:sz w:val="28"/>
          <w:szCs w:val="28"/>
        </w:rPr>
      </w:pPr>
      <w:r w:rsidRPr="0066191E">
        <w:rPr>
          <w:rFonts w:ascii="Times New Roman" w:hAnsi="Times New Roman" w:cs="Times New Roman"/>
          <w:b/>
          <w:sz w:val="28"/>
          <w:szCs w:val="28"/>
        </w:rPr>
        <w:t xml:space="preserve">Информация о выполнении </w:t>
      </w:r>
    </w:p>
    <w:p w:rsidR="0066191E" w:rsidRPr="0066191E" w:rsidRDefault="0066191E" w:rsidP="0066191E">
      <w:pPr>
        <w:jc w:val="center"/>
        <w:rPr>
          <w:rFonts w:ascii="Times New Roman" w:hAnsi="Times New Roman" w:cs="Times New Roman"/>
          <w:b/>
          <w:sz w:val="28"/>
          <w:szCs w:val="28"/>
        </w:rPr>
      </w:pPr>
      <w:r w:rsidRPr="0066191E">
        <w:rPr>
          <w:rFonts w:ascii="Times New Roman" w:hAnsi="Times New Roman" w:cs="Times New Roman"/>
          <w:b/>
          <w:sz w:val="28"/>
          <w:szCs w:val="28"/>
        </w:rPr>
        <w:t>государственной программы Ханты-Мансийского автономного округа – Югры «Развитие жилищно-коммунального комплекса и повышение энергетической эффективности в Ханты-Мансийском автономном округе – Югре на 2014 – 2020 годы» за 2014 год</w:t>
      </w:r>
    </w:p>
    <w:p w:rsidR="0066191E" w:rsidRDefault="0066191E" w:rsidP="0066191E"/>
    <w:p w:rsidR="0066191E" w:rsidRPr="0020309F" w:rsidRDefault="0066191E" w:rsidP="0066191E">
      <w:pPr>
        <w:rPr>
          <w:rFonts w:ascii="Times New Roman" w:hAnsi="Times New Roman" w:cs="Times New Roman"/>
          <w:sz w:val="28"/>
          <w:szCs w:val="28"/>
        </w:rPr>
      </w:pPr>
    </w:p>
    <w:p w:rsidR="00912D8A" w:rsidRPr="00912D8A" w:rsidRDefault="00912D8A" w:rsidP="00912D8A">
      <w:pPr>
        <w:widowControl w:val="0"/>
        <w:autoSpaceDE w:val="0"/>
        <w:autoSpaceDN w:val="0"/>
        <w:adjustRightInd w:val="0"/>
        <w:spacing w:after="0" w:line="276" w:lineRule="auto"/>
        <w:jc w:val="both"/>
        <w:rPr>
          <w:rFonts w:ascii="Times New Roman" w:hAnsi="Times New Roman" w:cs="Times New Roman"/>
          <w:sz w:val="28"/>
          <w:szCs w:val="28"/>
        </w:rPr>
      </w:pPr>
      <w:r w:rsidRPr="0020309F">
        <w:rPr>
          <w:rFonts w:ascii="Times New Roman" w:hAnsi="Times New Roman" w:cs="Times New Roman"/>
          <w:sz w:val="28"/>
          <w:szCs w:val="28"/>
        </w:rPr>
        <w:t xml:space="preserve">          </w:t>
      </w:r>
      <w:r w:rsidRPr="00912D8A">
        <w:rPr>
          <w:rFonts w:ascii="Times New Roman" w:hAnsi="Times New Roman" w:cs="Times New Roman"/>
          <w:sz w:val="28"/>
          <w:szCs w:val="28"/>
        </w:rPr>
        <w:t>По результатам работы за 2014 год на реализацию мероприятий Государственной программы профинансировано всего 10 089 434,5 тыс. рублей, исполнение составило 99,1%, в том числе по источникам финансирования:</w:t>
      </w:r>
    </w:p>
    <w:p w:rsidR="00912D8A" w:rsidRPr="00912D8A" w:rsidRDefault="00912D8A" w:rsidP="00912D8A">
      <w:pPr>
        <w:widowControl w:val="0"/>
        <w:autoSpaceDE w:val="0"/>
        <w:autoSpaceDN w:val="0"/>
        <w:adjustRightInd w:val="0"/>
        <w:spacing w:after="0" w:line="276" w:lineRule="auto"/>
        <w:jc w:val="both"/>
        <w:rPr>
          <w:rFonts w:ascii="Times New Roman" w:hAnsi="Times New Roman" w:cs="Times New Roman"/>
          <w:sz w:val="28"/>
          <w:szCs w:val="28"/>
        </w:rPr>
      </w:pPr>
      <w:r w:rsidRPr="00912D8A">
        <w:rPr>
          <w:rFonts w:ascii="Times New Roman" w:hAnsi="Times New Roman" w:cs="Times New Roman"/>
          <w:sz w:val="28"/>
          <w:szCs w:val="28"/>
        </w:rPr>
        <w:t xml:space="preserve">- </w:t>
      </w:r>
      <w:r w:rsidRPr="0020309F">
        <w:rPr>
          <w:rFonts w:ascii="Times New Roman" w:hAnsi="Times New Roman" w:cs="Times New Roman"/>
          <w:sz w:val="28"/>
          <w:szCs w:val="28"/>
        </w:rPr>
        <w:t>за счет средств федерального бюджета</w:t>
      </w:r>
      <w:r w:rsidRPr="00912D8A">
        <w:rPr>
          <w:rFonts w:ascii="Times New Roman" w:hAnsi="Times New Roman" w:cs="Times New Roman"/>
          <w:sz w:val="28"/>
          <w:szCs w:val="28"/>
        </w:rPr>
        <w:t xml:space="preserve"> 74 254,9 тыс. рублей, что составляет 100 % от запланированных средств, из которых в объеме 65 754,9 тыс. рублей предоставлена финансовая поддержка из средств Государственной корпорации - Фонда содействия реформированию жилищно-коммунального хозяйства на реализацию региональной программы на проведение капитального ремонта многоквартирных домов и в объеме 8 500,0 тыс. рублей, перечислена денежная премия муниципальному образованию Белоярский район, победителю Всероссийского конкурса на звание «Самое  благоустроенное городское (сельское) поселение России» по итогам за 2012 год, поступившие от Министерства регионального развития Российской Федерации;</w:t>
      </w:r>
    </w:p>
    <w:p w:rsidR="00912D8A" w:rsidRPr="00912D8A" w:rsidRDefault="00912D8A" w:rsidP="00912D8A">
      <w:pPr>
        <w:widowControl w:val="0"/>
        <w:autoSpaceDE w:val="0"/>
        <w:autoSpaceDN w:val="0"/>
        <w:adjustRightInd w:val="0"/>
        <w:spacing w:after="0" w:line="276" w:lineRule="auto"/>
        <w:jc w:val="both"/>
        <w:rPr>
          <w:rFonts w:ascii="Times New Roman" w:hAnsi="Times New Roman" w:cs="Times New Roman"/>
          <w:sz w:val="28"/>
          <w:szCs w:val="28"/>
        </w:rPr>
      </w:pPr>
      <w:r w:rsidRPr="00912D8A">
        <w:rPr>
          <w:rFonts w:ascii="Times New Roman" w:hAnsi="Times New Roman" w:cs="Times New Roman"/>
          <w:sz w:val="28"/>
          <w:szCs w:val="28"/>
        </w:rPr>
        <w:t xml:space="preserve">- </w:t>
      </w:r>
      <w:r w:rsidRPr="0020309F">
        <w:rPr>
          <w:rFonts w:ascii="Times New Roman" w:hAnsi="Times New Roman" w:cs="Times New Roman"/>
          <w:sz w:val="28"/>
          <w:szCs w:val="28"/>
        </w:rPr>
        <w:t>за счет средств бюджета автономного округа</w:t>
      </w:r>
      <w:r w:rsidRPr="00912D8A">
        <w:rPr>
          <w:rFonts w:ascii="Times New Roman" w:hAnsi="Times New Roman" w:cs="Times New Roman"/>
          <w:sz w:val="28"/>
          <w:szCs w:val="28"/>
        </w:rPr>
        <w:t xml:space="preserve"> 2 976 282,2 тыс. рублей, исполнение 99,4 %;</w:t>
      </w:r>
    </w:p>
    <w:p w:rsidR="00912D8A" w:rsidRPr="00912D8A" w:rsidRDefault="00912D8A" w:rsidP="00912D8A">
      <w:pPr>
        <w:widowControl w:val="0"/>
        <w:autoSpaceDE w:val="0"/>
        <w:autoSpaceDN w:val="0"/>
        <w:adjustRightInd w:val="0"/>
        <w:spacing w:after="0" w:line="276" w:lineRule="auto"/>
        <w:jc w:val="both"/>
        <w:rPr>
          <w:rFonts w:ascii="Times New Roman" w:hAnsi="Times New Roman" w:cs="Times New Roman"/>
          <w:sz w:val="28"/>
          <w:szCs w:val="28"/>
        </w:rPr>
      </w:pPr>
      <w:r w:rsidRPr="00912D8A">
        <w:rPr>
          <w:rFonts w:ascii="Times New Roman" w:hAnsi="Times New Roman" w:cs="Times New Roman"/>
          <w:sz w:val="28"/>
          <w:szCs w:val="28"/>
        </w:rPr>
        <w:t xml:space="preserve">- </w:t>
      </w:r>
      <w:r w:rsidRPr="0020309F">
        <w:rPr>
          <w:rFonts w:ascii="Times New Roman" w:hAnsi="Times New Roman" w:cs="Times New Roman"/>
          <w:sz w:val="28"/>
          <w:szCs w:val="28"/>
        </w:rPr>
        <w:t>за счет средств местного бюджета</w:t>
      </w:r>
      <w:r w:rsidRPr="00912D8A">
        <w:rPr>
          <w:rFonts w:ascii="Times New Roman" w:hAnsi="Times New Roman" w:cs="Times New Roman"/>
          <w:sz w:val="28"/>
          <w:szCs w:val="28"/>
        </w:rPr>
        <w:t xml:space="preserve"> 619 036,8 тыс. рублей, исполнение 98,5 % (в том числе привлеченные средства от хозяйствующих субъектов, осуществляющих деятельность на территории автономного округа 41 200,0 тыс. рублей, исполнение 100%);</w:t>
      </w:r>
    </w:p>
    <w:p w:rsidR="0066191E" w:rsidRPr="00912D8A" w:rsidRDefault="00912D8A" w:rsidP="00912D8A">
      <w:pPr>
        <w:widowControl w:val="0"/>
        <w:autoSpaceDE w:val="0"/>
        <w:autoSpaceDN w:val="0"/>
        <w:adjustRightInd w:val="0"/>
        <w:spacing w:after="0" w:line="240" w:lineRule="auto"/>
        <w:jc w:val="both"/>
        <w:rPr>
          <w:rFonts w:ascii="Times New Roman" w:hAnsi="Times New Roman" w:cs="Times New Roman"/>
          <w:sz w:val="28"/>
          <w:szCs w:val="28"/>
        </w:rPr>
      </w:pPr>
      <w:r w:rsidRPr="00912D8A">
        <w:rPr>
          <w:rFonts w:ascii="Times New Roman" w:hAnsi="Times New Roman" w:cs="Times New Roman"/>
          <w:sz w:val="28"/>
          <w:szCs w:val="28"/>
        </w:rPr>
        <w:t xml:space="preserve">- </w:t>
      </w:r>
      <w:r w:rsidRPr="0020309F">
        <w:rPr>
          <w:rFonts w:ascii="Times New Roman" w:hAnsi="Times New Roman" w:cs="Times New Roman"/>
          <w:sz w:val="28"/>
          <w:szCs w:val="28"/>
        </w:rPr>
        <w:t>за счет иных внебюджетных источников</w:t>
      </w:r>
      <w:r w:rsidRPr="00912D8A">
        <w:rPr>
          <w:rFonts w:ascii="Times New Roman" w:hAnsi="Times New Roman" w:cs="Times New Roman"/>
          <w:sz w:val="28"/>
          <w:szCs w:val="28"/>
        </w:rPr>
        <w:t xml:space="preserve"> 6 419 860,6 тыс. рублей, исполнение 98,9 %.</w:t>
      </w:r>
    </w:p>
    <w:p w:rsidR="00CB17EB" w:rsidRPr="00912D8A" w:rsidRDefault="00CB17EB" w:rsidP="00CB17EB">
      <w:pPr>
        <w:widowControl w:val="0"/>
        <w:autoSpaceDE w:val="0"/>
        <w:autoSpaceDN w:val="0"/>
        <w:adjustRightInd w:val="0"/>
        <w:spacing w:after="0" w:line="276" w:lineRule="auto"/>
        <w:ind w:firstLine="708"/>
        <w:jc w:val="both"/>
        <w:rPr>
          <w:rFonts w:ascii="Times New Roman" w:hAnsi="Times New Roman" w:cs="Times New Roman"/>
          <w:sz w:val="28"/>
          <w:szCs w:val="28"/>
        </w:rPr>
      </w:pPr>
      <w:r w:rsidRPr="00912D8A">
        <w:rPr>
          <w:rFonts w:ascii="Times New Roman" w:hAnsi="Times New Roman" w:cs="Times New Roman"/>
          <w:sz w:val="28"/>
          <w:szCs w:val="28"/>
        </w:rPr>
        <w:t>Государственная программа финансируется за счет четырех источников: федерального бюджета, бюджета автономного округа, бюджетов муниципальных образований и иных внебюджетных источников.</w:t>
      </w:r>
    </w:p>
    <w:p w:rsidR="00CB17EB" w:rsidRPr="00912D8A" w:rsidRDefault="00CB17EB" w:rsidP="00CB17EB">
      <w:pPr>
        <w:rPr>
          <w:rFonts w:ascii="Times New Roman" w:hAnsi="Times New Roman" w:cs="Times New Roman"/>
          <w:sz w:val="28"/>
          <w:szCs w:val="28"/>
        </w:rPr>
      </w:pPr>
    </w:p>
    <w:p w:rsidR="00CE32F3" w:rsidRPr="0020309F" w:rsidRDefault="00CB17EB" w:rsidP="00CB17EB">
      <w:pPr>
        <w:rPr>
          <w:rFonts w:ascii="Times New Roman" w:hAnsi="Times New Roman" w:cs="Times New Roman"/>
          <w:sz w:val="28"/>
          <w:szCs w:val="28"/>
        </w:rPr>
      </w:pPr>
      <w:r w:rsidRPr="0020309F">
        <w:rPr>
          <w:rFonts w:ascii="Times New Roman" w:hAnsi="Times New Roman" w:cs="Times New Roman"/>
          <w:sz w:val="28"/>
          <w:szCs w:val="28"/>
        </w:rPr>
        <w:lastRenderedPageBreak/>
        <w:drawing>
          <wp:inline distT="0" distB="0" distL="0" distR="0" wp14:anchorId="5FAE973B" wp14:editId="47ECA526">
            <wp:extent cx="5916295" cy="3418205"/>
            <wp:effectExtent l="0" t="0" r="8255" b="1079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rsidR="00912D8A" w:rsidRPr="00912D8A" w:rsidRDefault="00912D8A" w:rsidP="00912D8A">
      <w:pPr>
        <w:widowControl w:val="0"/>
        <w:autoSpaceDE w:val="0"/>
        <w:autoSpaceDN w:val="0"/>
        <w:adjustRightInd w:val="0"/>
        <w:spacing w:after="0" w:line="276" w:lineRule="auto"/>
        <w:ind w:firstLine="708"/>
        <w:jc w:val="both"/>
        <w:rPr>
          <w:rFonts w:ascii="Times New Roman" w:hAnsi="Times New Roman" w:cs="Times New Roman"/>
          <w:sz w:val="28"/>
          <w:szCs w:val="28"/>
        </w:rPr>
      </w:pPr>
      <w:r w:rsidRPr="00912D8A">
        <w:rPr>
          <w:rFonts w:ascii="Times New Roman" w:hAnsi="Times New Roman" w:cs="Times New Roman"/>
          <w:sz w:val="28"/>
          <w:szCs w:val="28"/>
        </w:rPr>
        <w:t xml:space="preserve">Всего из средств бюджета автономного округа выделено 2 976,3 млн. рублей. Средства реализованы по следующим направлениям: 45% межбюджетные трансферты, субсидии, субвенции на капитальный ремонт газопроводов, систем теплоснабжения, водоснабжения и водоотведения для подготовки к осенне-зимнему периоду, на оказание поддержки местным бюджетам в возмещении части затрат на оплату за энергоресурсы; </w:t>
      </w:r>
      <w:proofErr w:type="spellStart"/>
      <w:r w:rsidRPr="00912D8A">
        <w:rPr>
          <w:rFonts w:ascii="Times New Roman" w:hAnsi="Times New Roman" w:cs="Times New Roman"/>
          <w:sz w:val="28"/>
          <w:szCs w:val="28"/>
        </w:rPr>
        <w:t>софинансирование</w:t>
      </w:r>
      <w:proofErr w:type="spellEnd"/>
      <w:r w:rsidRPr="00912D8A">
        <w:rPr>
          <w:rFonts w:ascii="Times New Roman" w:hAnsi="Times New Roman" w:cs="Times New Roman"/>
          <w:sz w:val="28"/>
          <w:szCs w:val="28"/>
        </w:rPr>
        <w:t xml:space="preserve"> расходов муниципальных образований на разработку схем водоснабжения и водоотведения Ханты-Мансийского автономного округа – Югры, предоставлена субсидия бюджету городского округа город Радужный; 41% инвестиции в объекты коммунального комплекса (реконструкция, расширение, модернизация и строительство 24 объектов водоснабжения, водоотведения, теплоснабжения, газоснабжения в 14 муниципальных образованиях автономного округа); 8% средств было направлено на научные, исследовательские и технологические разработки, проведен конкурс на звание «Самый благоустроенный город, поселок, село Ханты-Мансийского автономного округа – Югры» по итогам за 2013 год, закуплено для 8 муниципальных образований 11 дизель-генераторных установок, обеспечено хранение и содержание резервов материальных ресурсов, направлено на обеспечение деятельности Департамента; 4% содействие проведению капитального ремонта многоквартирных домов; 2% оказание государственной поддержки на возмещение части затрат на уплату процентов по привлекаемым кредитным средствам организациям в сфере жилищно-коммунального комплекса и энергетики автономного округа.</w:t>
      </w:r>
    </w:p>
    <w:p w:rsidR="00912D8A" w:rsidRPr="00912D8A" w:rsidRDefault="00912D8A" w:rsidP="00912D8A">
      <w:pPr>
        <w:widowControl w:val="0"/>
        <w:autoSpaceDE w:val="0"/>
        <w:autoSpaceDN w:val="0"/>
        <w:adjustRightInd w:val="0"/>
        <w:spacing w:after="0" w:line="240" w:lineRule="auto"/>
        <w:ind w:firstLine="708"/>
        <w:jc w:val="both"/>
        <w:rPr>
          <w:rFonts w:ascii="Times New Roman" w:hAnsi="Times New Roman" w:cs="Times New Roman"/>
          <w:sz w:val="28"/>
          <w:szCs w:val="28"/>
        </w:rPr>
      </w:pPr>
    </w:p>
    <w:p w:rsidR="0020309F" w:rsidRPr="0020309F" w:rsidRDefault="0020309F" w:rsidP="0020309F">
      <w:pPr>
        <w:autoSpaceDE w:val="0"/>
        <w:autoSpaceDN w:val="0"/>
        <w:adjustRightInd w:val="0"/>
        <w:spacing w:after="0"/>
        <w:jc w:val="center"/>
        <w:outlineLvl w:val="1"/>
        <w:rPr>
          <w:rFonts w:ascii="Times New Roman" w:hAnsi="Times New Roman" w:cs="Times New Roman"/>
          <w:b/>
          <w:bCs/>
          <w:sz w:val="24"/>
          <w:szCs w:val="24"/>
          <w:lang w:eastAsia="ru-RU"/>
        </w:rPr>
      </w:pPr>
      <w:r w:rsidRPr="0020309F">
        <w:rPr>
          <w:rFonts w:ascii="Times New Roman" w:hAnsi="Times New Roman" w:cs="Times New Roman"/>
          <w:b/>
          <w:bCs/>
          <w:sz w:val="24"/>
          <w:szCs w:val="24"/>
          <w:lang w:eastAsia="ru-RU"/>
        </w:rPr>
        <w:lastRenderedPageBreak/>
        <w:t>ЖИЛИЩНО-КОММУНАЛЬНЫЙ КОМПЛЕКС</w:t>
      </w:r>
    </w:p>
    <w:p w:rsidR="0020309F" w:rsidRDefault="0020309F" w:rsidP="0020309F">
      <w:pPr>
        <w:widowControl w:val="0"/>
        <w:autoSpaceDE w:val="0"/>
        <w:autoSpaceDN w:val="0"/>
        <w:adjustRightInd w:val="0"/>
        <w:spacing w:after="0"/>
        <w:jc w:val="both"/>
        <w:rPr>
          <w:rFonts w:ascii="Times New Roman" w:hAnsi="Times New Roman" w:cs="Times New Roman"/>
          <w:sz w:val="28"/>
          <w:szCs w:val="28"/>
        </w:rPr>
      </w:pPr>
    </w:p>
    <w:p w:rsidR="0020309F" w:rsidRPr="00317731" w:rsidRDefault="0020309F" w:rsidP="0020309F">
      <w:pPr>
        <w:widowControl w:val="0"/>
        <w:autoSpaceDE w:val="0"/>
        <w:autoSpaceDN w:val="0"/>
        <w:adjustRightInd w:val="0"/>
        <w:spacing w:after="0"/>
        <w:ind w:firstLine="540"/>
        <w:jc w:val="both"/>
        <w:rPr>
          <w:rFonts w:ascii="Times New Roman" w:hAnsi="Times New Roman" w:cs="Times New Roman"/>
          <w:sz w:val="28"/>
          <w:szCs w:val="28"/>
        </w:rPr>
      </w:pPr>
      <w:r w:rsidRPr="00317731">
        <w:rPr>
          <w:rFonts w:ascii="Times New Roman" w:hAnsi="Times New Roman" w:cs="Times New Roman"/>
          <w:sz w:val="28"/>
          <w:szCs w:val="28"/>
        </w:rPr>
        <w:t>Комфортность жилищ и техническую доступность коммунальных услуг для потребителей обеспечивает уровень благоустройства жилищного фонда. В среднем по Российской Федерации доля комплексно благоустроенного жилья (оборудованного одновременно водопроводом, водоотведением (канализацией), отоплением, горячим водоснабжением, газом или напольными электроплитами) составляет 62,9% по Югре – 83,5% (на 01.01.2014 г), в том числе по годам:</w:t>
      </w:r>
    </w:p>
    <w:p w:rsidR="0020309F" w:rsidRPr="00317731" w:rsidRDefault="0020309F" w:rsidP="0020309F">
      <w:pPr>
        <w:widowControl w:val="0"/>
        <w:autoSpaceDE w:val="0"/>
        <w:autoSpaceDN w:val="0"/>
        <w:adjustRightInd w:val="0"/>
        <w:spacing w:after="0"/>
        <w:ind w:firstLine="540"/>
        <w:jc w:val="both"/>
        <w:rPr>
          <w:rFonts w:ascii="Times New Roman" w:hAnsi="Times New Roman" w:cs="Times New Roman"/>
          <w:sz w:val="28"/>
          <w:szCs w:val="28"/>
        </w:rPr>
      </w:pPr>
      <w:r w:rsidRPr="00317731">
        <w:rPr>
          <w:rFonts w:ascii="Times New Roman" w:hAnsi="Times New Roman" w:cs="Times New Roman"/>
          <w:sz w:val="28"/>
          <w:szCs w:val="28"/>
        </w:rPr>
        <w:t>%</w:t>
      </w:r>
    </w:p>
    <w:tbl>
      <w:tblPr>
        <w:tblW w:w="943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1548"/>
        <w:gridCol w:w="1548"/>
        <w:gridCol w:w="1548"/>
        <w:gridCol w:w="1548"/>
        <w:gridCol w:w="1695"/>
      </w:tblGrid>
      <w:tr w:rsidR="0020309F" w:rsidRPr="001602B1" w:rsidTr="00E80C8C">
        <w:trPr>
          <w:trHeight w:val="471"/>
        </w:trPr>
        <w:tc>
          <w:tcPr>
            <w:tcW w:w="1548"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2010</w:t>
            </w:r>
          </w:p>
        </w:tc>
        <w:tc>
          <w:tcPr>
            <w:tcW w:w="1548"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2011</w:t>
            </w:r>
          </w:p>
        </w:tc>
        <w:tc>
          <w:tcPr>
            <w:tcW w:w="1548"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2012</w:t>
            </w:r>
          </w:p>
        </w:tc>
        <w:tc>
          <w:tcPr>
            <w:tcW w:w="1548"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2013</w:t>
            </w:r>
          </w:p>
        </w:tc>
        <w:tc>
          <w:tcPr>
            <w:tcW w:w="1548"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2014</w:t>
            </w:r>
          </w:p>
        </w:tc>
        <w:tc>
          <w:tcPr>
            <w:tcW w:w="1695"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2015*</w:t>
            </w:r>
          </w:p>
        </w:tc>
      </w:tr>
      <w:tr w:rsidR="0020309F" w:rsidRPr="001602B1" w:rsidTr="00E80C8C">
        <w:trPr>
          <w:trHeight w:val="488"/>
        </w:trPr>
        <w:tc>
          <w:tcPr>
            <w:tcW w:w="1548"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79,6</w:t>
            </w:r>
          </w:p>
        </w:tc>
        <w:tc>
          <w:tcPr>
            <w:tcW w:w="1548"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79,9</w:t>
            </w:r>
          </w:p>
        </w:tc>
        <w:tc>
          <w:tcPr>
            <w:tcW w:w="1548"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80,0</w:t>
            </w:r>
          </w:p>
        </w:tc>
        <w:tc>
          <w:tcPr>
            <w:tcW w:w="1548"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80,0</w:t>
            </w:r>
          </w:p>
        </w:tc>
        <w:tc>
          <w:tcPr>
            <w:tcW w:w="1548"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83,5</w:t>
            </w:r>
          </w:p>
        </w:tc>
        <w:tc>
          <w:tcPr>
            <w:tcW w:w="1695"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85,0</w:t>
            </w:r>
          </w:p>
        </w:tc>
      </w:tr>
    </w:tbl>
    <w:p w:rsidR="0020309F" w:rsidRPr="00317731" w:rsidRDefault="0020309F" w:rsidP="0020309F">
      <w:pPr>
        <w:widowControl w:val="0"/>
        <w:autoSpaceDE w:val="0"/>
        <w:autoSpaceDN w:val="0"/>
        <w:adjustRightInd w:val="0"/>
        <w:spacing w:after="0"/>
        <w:ind w:left="540"/>
        <w:jc w:val="both"/>
        <w:rPr>
          <w:rFonts w:ascii="Times New Roman" w:hAnsi="Times New Roman" w:cs="Times New Roman"/>
          <w:sz w:val="28"/>
          <w:szCs w:val="28"/>
        </w:rPr>
      </w:pPr>
      <w:r w:rsidRPr="00317731">
        <w:rPr>
          <w:rFonts w:ascii="Times New Roman" w:hAnsi="Times New Roman" w:cs="Times New Roman"/>
          <w:sz w:val="28"/>
          <w:szCs w:val="28"/>
        </w:rPr>
        <w:t>* - оценка</w:t>
      </w:r>
    </w:p>
    <w:p w:rsidR="0020309F" w:rsidRDefault="0020309F" w:rsidP="0020309F">
      <w:pPr>
        <w:widowControl w:val="0"/>
        <w:autoSpaceDE w:val="0"/>
        <w:autoSpaceDN w:val="0"/>
        <w:adjustRightInd w:val="0"/>
        <w:spacing w:after="0"/>
        <w:jc w:val="both"/>
        <w:rPr>
          <w:rFonts w:ascii="Times New Roman" w:hAnsi="Times New Roman" w:cs="Times New Roman"/>
          <w:sz w:val="28"/>
          <w:szCs w:val="28"/>
        </w:rPr>
      </w:pPr>
    </w:p>
    <w:p w:rsidR="0020309F" w:rsidRDefault="0020309F" w:rsidP="0020309F">
      <w:pPr>
        <w:widowControl w:val="0"/>
        <w:autoSpaceDE w:val="0"/>
        <w:autoSpaceDN w:val="0"/>
        <w:adjustRightInd w:val="0"/>
        <w:spacing w:after="0"/>
        <w:jc w:val="both"/>
        <w:rPr>
          <w:rFonts w:ascii="Times New Roman" w:hAnsi="Times New Roman" w:cs="Times New Roman"/>
          <w:sz w:val="28"/>
          <w:szCs w:val="28"/>
        </w:rPr>
      </w:pPr>
      <w:r>
        <w:rPr>
          <w:noProof/>
          <w:lang w:eastAsia="ru-RU"/>
        </w:rPr>
        <w:drawing>
          <wp:inline distT="0" distB="0" distL="0" distR="0">
            <wp:extent cx="5772150" cy="3895725"/>
            <wp:effectExtent l="0" t="0" r="0" b="9525"/>
            <wp:docPr id="11" name="Рисунок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15"/>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72150" cy="3895725"/>
                    </a:xfrm>
                    <a:prstGeom prst="rect">
                      <a:avLst/>
                    </a:prstGeom>
                    <a:noFill/>
                    <a:ln>
                      <a:noFill/>
                    </a:ln>
                  </pic:spPr>
                </pic:pic>
              </a:graphicData>
            </a:graphic>
          </wp:inline>
        </w:drawing>
      </w:r>
    </w:p>
    <w:p w:rsidR="0020309F" w:rsidRPr="00317731" w:rsidRDefault="0020309F" w:rsidP="0020309F">
      <w:pPr>
        <w:widowControl w:val="0"/>
        <w:autoSpaceDE w:val="0"/>
        <w:autoSpaceDN w:val="0"/>
        <w:adjustRightInd w:val="0"/>
        <w:spacing w:after="0"/>
        <w:ind w:firstLine="708"/>
        <w:jc w:val="both"/>
        <w:rPr>
          <w:rFonts w:ascii="Times New Roman" w:hAnsi="Times New Roman" w:cs="Times New Roman"/>
          <w:sz w:val="28"/>
          <w:szCs w:val="28"/>
        </w:rPr>
      </w:pPr>
      <w:r w:rsidRPr="00317731">
        <w:rPr>
          <w:rFonts w:ascii="Times New Roman" w:hAnsi="Times New Roman" w:cs="Times New Roman"/>
          <w:sz w:val="28"/>
          <w:szCs w:val="28"/>
        </w:rPr>
        <w:t xml:space="preserve">За период с 2010 по 2014 гг. доля комплексного благоустроенного жилья в Югре </w:t>
      </w:r>
      <w:proofErr w:type="spellStart"/>
      <w:r w:rsidRPr="00317731">
        <w:rPr>
          <w:rFonts w:ascii="Times New Roman" w:hAnsi="Times New Roman" w:cs="Times New Roman"/>
          <w:sz w:val="28"/>
          <w:szCs w:val="28"/>
        </w:rPr>
        <w:t>увеличиласьс</w:t>
      </w:r>
      <w:proofErr w:type="spellEnd"/>
      <w:r w:rsidRPr="00317731">
        <w:rPr>
          <w:rFonts w:ascii="Times New Roman" w:hAnsi="Times New Roman" w:cs="Times New Roman"/>
          <w:sz w:val="28"/>
          <w:szCs w:val="28"/>
        </w:rPr>
        <w:t xml:space="preserve"> 79,6% до 83,5% (или на 3,9%). В 2015 планируется рост показателя еще на 1,5% до 85,0%.</w:t>
      </w:r>
    </w:p>
    <w:p w:rsidR="0020309F" w:rsidRPr="00317731" w:rsidRDefault="0020309F" w:rsidP="0020309F">
      <w:pPr>
        <w:widowControl w:val="0"/>
        <w:autoSpaceDE w:val="0"/>
        <w:autoSpaceDN w:val="0"/>
        <w:adjustRightInd w:val="0"/>
        <w:spacing w:after="0"/>
        <w:ind w:firstLine="708"/>
        <w:jc w:val="both"/>
        <w:rPr>
          <w:rFonts w:ascii="Times New Roman" w:hAnsi="Times New Roman" w:cs="Times New Roman"/>
          <w:sz w:val="28"/>
          <w:szCs w:val="28"/>
        </w:rPr>
      </w:pPr>
      <w:r w:rsidRPr="00317731">
        <w:rPr>
          <w:rFonts w:ascii="Times New Roman" w:hAnsi="Times New Roman" w:cs="Times New Roman"/>
          <w:sz w:val="28"/>
          <w:szCs w:val="28"/>
        </w:rPr>
        <w:t xml:space="preserve">Успешно работают механизмы привлечения частных инвестиций для реализации коммунальных проектов, в том числе за счет ежегодно предоставляемой государственной поддержки отраслевым предприятиям муниципальных образований </w:t>
      </w:r>
      <w:proofErr w:type="spellStart"/>
      <w:r w:rsidRPr="00317731">
        <w:rPr>
          <w:rFonts w:ascii="Times New Roman" w:hAnsi="Times New Roman" w:cs="Times New Roman"/>
          <w:sz w:val="28"/>
          <w:szCs w:val="28"/>
        </w:rPr>
        <w:t>Югорск</w:t>
      </w:r>
      <w:proofErr w:type="spellEnd"/>
      <w:r w:rsidRPr="00317731">
        <w:rPr>
          <w:rFonts w:ascii="Times New Roman" w:hAnsi="Times New Roman" w:cs="Times New Roman"/>
          <w:sz w:val="28"/>
          <w:szCs w:val="28"/>
        </w:rPr>
        <w:t xml:space="preserve">, </w:t>
      </w:r>
      <w:proofErr w:type="spellStart"/>
      <w:r w:rsidRPr="00317731">
        <w:rPr>
          <w:rFonts w:ascii="Times New Roman" w:hAnsi="Times New Roman" w:cs="Times New Roman"/>
          <w:sz w:val="28"/>
          <w:szCs w:val="28"/>
        </w:rPr>
        <w:t>Урай</w:t>
      </w:r>
      <w:proofErr w:type="spellEnd"/>
      <w:r w:rsidRPr="00317731">
        <w:rPr>
          <w:rFonts w:ascii="Times New Roman" w:hAnsi="Times New Roman" w:cs="Times New Roman"/>
          <w:sz w:val="28"/>
          <w:szCs w:val="28"/>
        </w:rPr>
        <w:t xml:space="preserve">, Сургут, Когалым, Радужный, </w:t>
      </w:r>
      <w:proofErr w:type="spellStart"/>
      <w:r w:rsidRPr="00317731">
        <w:rPr>
          <w:rFonts w:ascii="Times New Roman" w:hAnsi="Times New Roman" w:cs="Times New Roman"/>
          <w:sz w:val="28"/>
          <w:szCs w:val="28"/>
        </w:rPr>
        <w:t>Пыть-Ях</w:t>
      </w:r>
      <w:proofErr w:type="spellEnd"/>
      <w:r w:rsidRPr="00317731">
        <w:rPr>
          <w:rFonts w:ascii="Times New Roman" w:hAnsi="Times New Roman" w:cs="Times New Roman"/>
          <w:sz w:val="28"/>
          <w:szCs w:val="28"/>
        </w:rPr>
        <w:t xml:space="preserve">, Нефтеюганск, Советского и </w:t>
      </w:r>
      <w:proofErr w:type="spellStart"/>
      <w:r w:rsidRPr="00317731">
        <w:rPr>
          <w:rFonts w:ascii="Times New Roman" w:hAnsi="Times New Roman" w:cs="Times New Roman"/>
          <w:sz w:val="28"/>
          <w:szCs w:val="28"/>
        </w:rPr>
        <w:t>Сургутского</w:t>
      </w:r>
      <w:proofErr w:type="spellEnd"/>
      <w:r w:rsidRPr="00317731">
        <w:rPr>
          <w:rFonts w:ascii="Times New Roman" w:hAnsi="Times New Roman" w:cs="Times New Roman"/>
          <w:sz w:val="28"/>
          <w:szCs w:val="28"/>
        </w:rPr>
        <w:t xml:space="preserve"> районов:</w:t>
      </w:r>
    </w:p>
    <w:p w:rsidR="0020309F" w:rsidRPr="00317731" w:rsidRDefault="0020309F" w:rsidP="0020309F">
      <w:pPr>
        <w:widowControl w:val="0"/>
        <w:autoSpaceDE w:val="0"/>
        <w:autoSpaceDN w:val="0"/>
        <w:adjustRightInd w:val="0"/>
        <w:spacing w:after="0"/>
        <w:jc w:val="right"/>
        <w:rPr>
          <w:rFonts w:ascii="Times New Roman" w:hAnsi="Times New Roman" w:cs="Times New Roman"/>
          <w:sz w:val="28"/>
          <w:szCs w:val="28"/>
        </w:rPr>
      </w:pPr>
      <w:proofErr w:type="spellStart"/>
      <w:r w:rsidRPr="00317731">
        <w:rPr>
          <w:rFonts w:ascii="Times New Roman" w:hAnsi="Times New Roman" w:cs="Times New Roman"/>
          <w:sz w:val="28"/>
          <w:szCs w:val="28"/>
        </w:rPr>
        <w:t>млн.рублей</w:t>
      </w:r>
      <w:proofErr w:type="spellEnd"/>
    </w:p>
    <w:tbl>
      <w:tblPr>
        <w:tblW w:w="92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0"/>
        <w:gridCol w:w="1520"/>
        <w:gridCol w:w="1520"/>
        <w:gridCol w:w="1520"/>
        <w:gridCol w:w="1520"/>
        <w:gridCol w:w="1663"/>
      </w:tblGrid>
      <w:tr w:rsidR="0020309F" w:rsidRPr="001602B1" w:rsidTr="00E80C8C">
        <w:trPr>
          <w:trHeight w:val="648"/>
          <w:jc w:val="center"/>
        </w:trPr>
        <w:tc>
          <w:tcPr>
            <w:tcW w:w="1520"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lastRenderedPageBreak/>
              <w:t>2010</w:t>
            </w:r>
          </w:p>
        </w:tc>
        <w:tc>
          <w:tcPr>
            <w:tcW w:w="1520"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2011</w:t>
            </w:r>
          </w:p>
        </w:tc>
        <w:tc>
          <w:tcPr>
            <w:tcW w:w="1520"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2012</w:t>
            </w:r>
          </w:p>
        </w:tc>
        <w:tc>
          <w:tcPr>
            <w:tcW w:w="1520"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2013</w:t>
            </w:r>
          </w:p>
        </w:tc>
        <w:tc>
          <w:tcPr>
            <w:tcW w:w="1520"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2014</w:t>
            </w:r>
          </w:p>
        </w:tc>
        <w:tc>
          <w:tcPr>
            <w:tcW w:w="1663"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2015*</w:t>
            </w:r>
          </w:p>
        </w:tc>
      </w:tr>
      <w:tr w:rsidR="0020309F" w:rsidRPr="001602B1" w:rsidTr="00E80C8C">
        <w:trPr>
          <w:trHeight w:val="670"/>
          <w:jc w:val="center"/>
        </w:trPr>
        <w:tc>
          <w:tcPr>
            <w:tcW w:w="1520"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51,0</w:t>
            </w:r>
          </w:p>
        </w:tc>
        <w:tc>
          <w:tcPr>
            <w:tcW w:w="1520"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54,4</w:t>
            </w:r>
          </w:p>
        </w:tc>
        <w:tc>
          <w:tcPr>
            <w:tcW w:w="1520"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77,0</w:t>
            </w:r>
          </w:p>
        </w:tc>
        <w:tc>
          <w:tcPr>
            <w:tcW w:w="1520"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69,7</w:t>
            </w:r>
          </w:p>
        </w:tc>
        <w:tc>
          <w:tcPr>
            <w:tcW w:w="1520"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34,8</w:t>
            </w:r>
          </w:p>
        </w:tc>
        <w:tc>
          <w:tcPr>
            <w:tcW w:w="1663"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86,1</w:t>
            </w:r>
          </w:p>
        </w:tc>
      </w:tr>
    </w:tbl>
    <w:p w:rsidR="0020309F" w:rsidRPr="00317731" w:rsidRDefault="0020309F" w:rsidP="0020309F">
      <w:pPr>
        <w:widowControl w:val="0"/>
        <w:autoSpaceDE w:val="0"/>
        <w:autoSpaceDN w:val="0"/>
        <w:adjustRightInd w:val="0"/>
        <w:spacing w:after="0"/>
        <w:ind w:left="540"/>
        <w:jc w:val="both"/>
        <w:rPr>
          <w:rFonts w:ascii="Times New Roman" w:hAnsi="Times New Roman" w:cs="Times New Roman"/>
          <w:sz w:val="28"/>
          <w:szCs w:val="28"/>
        </w:rPr>
      </w:pPr>
      <w:r w:rsidRPr="00317731">
        <w:rPr>
          <w:rFonts w:ascii="Times New Roman" w:hAnsi="Times New Roman" w:cs="Times New Roman"/>
          <w:sz w:val="28"/>
          <w:szCs w:val="28"/>
        </w:rPr>
        <w:t>* - оценка</w:t>
      </w:r>
    </w:p>
    <w:p w:rsidR="0020309F" w:rsidRDefault="0020309F" w:rsidP="0020309F">
      <w:pPr>
        <w:widowControl w:val="0"/>
        <w:autoSpaceDE w:val="0"/>
        <w:autoSpaceDN w:val="0"/>
        <w:adjustRightInd w:val="0"/>
        <w:spacing w:after="0"/>
        <w:jc w:val="both"/>
        <w:rPr>
          <w:rFonts w:ascii="Times New Roman" w:hAnsi="Times New Roman" w:cs="Times New Roman"/>
          <w:sz w:val="28"/>
          <w:szCs w:val="28"/>
        </w:rPr>
      </w:pPr>
    </w:p>
    <w:p w:rsidR="0020309F" w:rsidRDefault="0020309F" w:rsidP="0020309F">
      <w:pPr>
        <w:widowControl w:val="0"/>
        <w:autoSpaceDE w:val="0"/>
        <w:autoSpaceDN w:val="0"/>
        <w:adjustRightInd w:val="0"/>
        <w:spacing w:after="0"/>
        <w:jc w:val="both"/>
        <w:rPr>
          <w:rFonts w:ascii="Times New Roman" w:hAnsi="Times New Roman" w:cs="Times New Roman"/>
          <w:sz w:val="28"/>
          <w:szCs w:val="28"/>
        </w:rPr>
      </w:pPr>
      <w:r>
        <w:rPr>
          <w:noProof/>
          <w:lang w:eastAsia="ru-RU"/>
        </w:rPr>
        <w:drawing>
          <wp:inline distT="0" distB="0" distL="0" distR="0">
            <wp:extent cx="5772150" cy="3162300"/>
            <wp:effectExtent l="0" t="0" r="0" b="0"/>
            <wp:docPr id="10" name="Рисунок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16"/>
                    <pic:cNvPicPr>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72150" cy="3162300"/>
                    </a:xfrm>
                    <a:prstGeom prst="rect">
                      <a:avLst/>
                    </a:prstGeom>
                    <a:noFill/>
                    <a:ln>
                      <a:noFill/>
                    </a:ln>
                  </pic:spPr>
                </pic:pic>
              </a:graphicData>
            </a:graphic>
          </wp:inline>
        </w:drawing>
      </w:r>
    </w:p>
    <w:p w:rsidR="0020309F" w:rsidRDefault="0020309F" w:rsidP="0020309F">
      <w:pPr>
        <w:widowControl w:val="0"/>
        <w:autoSpaceDE w:val="0"/>
        <w:autoSpaceDN w:val="0"/>
        <w:adjustRightInd w:val="0"/>
        <w:spacing w:after="0"/>
        <w:jc w:val="both"/>
        <w:rPr>
          <w:rFonts w:ascii="Times New Roman" w:hAnsi="Times New Roman" w:cs="Times New Roman"/>
          <w:sz w:val="28"/>
          <w:szCs w:val="28"/>
        </w:rPr>
      </w:pPr>
    </w:p>
    <w:p w:rsidR="0020309F" w:rsidRDefault="0020309F" w:rsidP="0020309F">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Государственная поддержка в 2010-2014 гг. оказывалась отраслевым предприятиям </w:t>
      </w:r>
      <w:proofErr w:type="spellStart"/>
      <w:r>
        <w:rPr>
          <w:rFonts w:ascii="Times New Roman" w:hAnsi="Times New Roman" w:cs="Times New Roman"/>
          <w:sz w:val="28"/>
          <w:szCs w:val="28"/>
        </w:rPr>
        <w:t>Югорска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Урая</w:t>
      </w:r>
      <w:proofErr w:type="spellEnd"/>
      <w:r>
        <w:rPr>
          <w:rFonts w:ascii="Times New Roman" w:hAnsi="Times New Roman" w:cs="Times New Roman"/>
          <w:sz w:val="28"/>
          <w:szCs w:val="28"/>
        </w:rPr>
        <w:t xml:space="preserve">, Радужного, Сургута, </w:t>
      </w:r>
      <w:proofErr w:type="spellStart"/>
      <w:r>
        <w:rPr>
          <w:rFonts w:ascii="Times New Roman" w:hAnsi="Times New Roman" w:cs="Times New Roman"/>
          <w:sz w:val="28"/>
          <w:szCs w:val="28"/>
        </w:rPr>
        <w:t>Пыть-Яха</w:t>
      </w:r>
      <w:proofErr w:type="spellEnd"/>
      <w:r>
        <w:rPr>
          <w:rFonts w:ascii="Times New Roman" w:hAnsi="Times New Roman" w:cs="Times New Roman"/>
          <w:sz w:val="28"/>
          <w:szCs w:val="28"/>
        </w:rPr>
        <w:t xml:space="preserve">, Советского и </w:t>
      </w:r>
      <w:proofErr w:type="spellStart"/>
      <w:r>
        <w:rPr>
          <w:rFonts w:ascii="Times New Roman" w:hAnsi="Times New Roman" w:cs="Times New Roman"/>
          <w:sz w:val="28"/>
          <w:szCs w:val="28"/>
        </w:rPr>
        <w:t>Сургутского</w:t>
      </w:r>
      <w:proofErr w:type="spellEnd"/>
      <w:r>
        <w:rPr>
          <w:rFonts w:ascii="Times New Roman" w:hAnsi="Times New Roman" w:cs="Times New Roman"/>
          <w:sz w:val="28"/>
          <w:szCs w:val="28"/>
        </w:rPr>
        <w:t xml:space="preserve"> районов, что позволило </w:t>
      </w:r>
      <w:r w:rsidRPr="00317731">
        <w:rPr>
          <w:rFonts w:ascii="Times New Roman" w:hAnsi="Times New Roman" w:cs="Times New Roman"/>
          <w:sz w:val="28"/>
          <w:szCs w:val="28"/>
        </w:rPr>
        <w:t xml:space="preserve">ежегодно наращивать выборку </w:t>
      </w:r>
      <w:r w:rsidRPr="00E17178">
        <w:rPr>
          <w:rFonts w:ascii="Times New Roman" w:hAnsi="Times New Roman" w:cs="Times New Roman"/>
          <w:sz w:val="28"/>
          <w:szCs w:val="28"/>
        </w:rPr>
        <w:t>кредитных ресурсов. За анализируемый период закончено строительство 8</w:t>
      </w:r>
      <w:r w:rsidRPr="00317731">
        <w:rPr>
          <w:rFonts w:ascii="Times New Roman" w:hAnsi="Times New Roman" w:cs="Times New Roman"/>
          <w:sz w:val="28"/>
          <w:szCs w:val="28"/>
        </w:rPr>
        <w:t xml:space="preserve"> объектов, реализуемых за счет привлеченных кредитных ресурсов в </w:t>
      </w:r>
      <w:proofErr w:type="spellStart"/>
      <w:r w:rsidRPr="00317731">
        <w:rPr>
          <w:rFonts w:ascii="Times New Roman" w:hAnsi="Times New Roman" w:cs="Times New Roman"/>
          <w:sz w:val="28"/>
          <w:szCs w:val="28"/>
        </w:rPr>
        <w:t>Югорске</w:t>
      </w:r>
      <w:proofErr w:type="spellEnd"/>
      <w:r w:rsidRPr="00317731">
        <w:rPr>
          <w:rFonts w:ascii="Times New Roman" w:hAnsi="Times New Roman" w:cs="Times New Roman"/>
          <w:sz w:val="28"/>
          <w:szCs w:val="28"/>
        </w:rPr>
        <w:t xml:space="preserve">, </w:t>
      </w:r>
      <w:proofErr w:type="spellStart"/>
      <w:r w:rsidRPr="00317731">
        <w:rPr>
          <w:rFonts w:ascii="Times New Roman" w:hAnsi="Times New Roman" w:cs="Times New Roman"/>
          <w:sz w:val="28"/>
          <w:szCs w:val="28"/>
        </w:rPr>
        <w:t>Урае</w:t>
      </w:r>
      <w:proofErr w:type="spellEnd"/>
      <w:r w:rsidRPr="00317731">
        <w:rPr>
          <w:rFonts w:ascii="Times New Roman" w:hAnsi="Times New Roman" w:cs="Times New Roman"/>
          <w:sz w:val="28"/>
          <w:szCs w:val="28"/>
        </w:rPr>
        <w:t xml:space="preserve">, Радужном, Сургуте, Советском, </w:t>
      </w:r>
      <w:proofErr w:type="spellStart"/>
      <w:r w:rsidRPr="00317731">
        <w:rPr>
          <w:rFonts w:ascii="Times New Roman" w:hAnsi="Times New Roman" w:cs="Times New Roman"/>
          <w:sz w:val="28"/>
          <w:szCs w:val="28"/>
        </w:rPr>
        <w:t>Сургутском</w:t>
      </w:r>
      <w:proofErr w:type="spellEnd"/>
      <w:r w:rsidRPr="00317731">
        <w:rPr>
          <w:rFonts w:ascii="Times New Roman" w:hAnsi="Times New Roman" w:cs="Times New Roman"/>
          <w:sz w:val="28"/>
          <w:szCs w:val="28"/>
        </w:rPr>
        <w:t xml:space="preserve"> районах</w:t>
      </w:r>
      <w:r>
        <w:rPr>
          <w:rFonts w:ascii="Times New Roman" w:hAnsi="Times New Roman" w:cs="Times New Roman"/>
          <w:sz w:val="28"/>
          <w:szCs w:val="28"/>
        </w:rPr>
        <w:t>.</w:t>
      </w:r>
    </w:p>
    <w:p w:rsidR="0020309F" w:rsidRPr="00317731" w:rsidRDefault="0020309F" w:rsidP="0020309F">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В 2014 году механизм предоставления государственной поддержки изменился, и поддержка оказывалась непосредственно предприятиям. Из 9 предприятий, имеющих возможность на получение средств бюджета автономного округа, средства направлены 4 (</w:t>
      </w:r>
      <w:proofErr w:type="spellStart"/>
      <w:r>
        <w:rPr>
          <w:rFonts w:ascii="Times New Roman" w:hAnsi="Times New Roman" w:cs="Times New Roman"/>
          <w:sz w:val="28"/>
          <w:szCs w:val="28"/>
        </w:rPr>
        <w:t>СГ</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МУП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Горводоканл</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г.Сургут</w:t>
      </w:r>
      <w:proofErr w:type="spellEnd"/>
      <w:r>
        <w:rPr>
          <w:rFonts w:ascii="Times New Roman" w:hAnsi="Times New Roman" w:cs="Times New Roman"/>
          <w:sz w:val="28"/>
          <w:szCs w:val="28"/>
        </w:rPr>
        <w:t>, ООО «</w:t>
      </w:r>
      <w:proofErr w:type="spellStart"/>
      <w:r>
        <w:rPr>
          <w:rFonts w:ascii="Times New Roman" w:hAnsi="Times New Roman" w:cs="Times New Roman"/>
          <w:sz w:val="28"/>
          <w:szCs w:val="28"/>
        </w:rPr>
        <w:t>Горводоканал</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г.Когалым</w:t>
      </w:r>
      <w:proofErr w:type="spellEnd"/>
      <w:r>
        <w:rPr>
          <w:rFonts w:ascii="Times New Roman" w:hAnsi="Times New Roman" w:cs="Times New Roman"/>
          <w:sz w:val="28"/>
          <w:szCs w:val="28"/>
        </w:rPr>
        <w:t>, ООО «</w:t>
      </w:r>
      <w:proofErr w:type="spellStart"/>
      <w:r>
        <w:rPr>
          <w:rFonts w:ascii="Times New Roman" w:hAnsi="Times New Roman" w:cs="Times New Roman"/>
          <w:sz w:val="28"/>
          <w:szCs w:val="28"/>
        </w:rPr>
        <w:t>Концесском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г.Когалым</w:t>
      </w:r>
      <w:proofErr w:type="spellEnd"/>
      <w:r>
        <w:rPr>
          <w:rFonts w:ascii="Times New Roman" w:hAnsi="Times New Roman" w:cs="Times New Roman"/>
          <w:sz w:val="28"/>
          <w:szCs w:val="28"/>
        </w:rPr>
        <w:t>, УК «Югра-Запад» Советский район) или 100% от заявившихся.</w:t>
      </w:r>
    </w:p>
    <w:p w:rsidR="0020309F" w:rsidRPr="00317731" w:rsidRDefault="0020309F" w:rsidP="0020309F">
      <w:pPr>
        <w:widowControl w:val="0"/>
        <w:autoSpaceDE w:val="0"/>
        <w:autoSpaceDN w:val="0"/>
        <w:adjustRightInd w:val="0"/>
        <w:spacing w:after="0"/>
        <w:ind w:firstLine="540"/>
        <w:jc w:val="both"/>
        <w:rPr>
          <w:rFonts w:ascii="Times New Roman" w:hAnsi="Times New Roman" w:cs="Times New Roman"/>
          <w:sz w:val="28"/>
          <w:szCs w:val="28"/>
        </w:rPr>
      </w:pPr>
      <w:r w:rsidRPr="00317731">
        <w:rPr>
          <w:rFonts w:ascii="Times New Roman" w:hAnsi="Times New Roman" w:cs="Times New Roman"/>
          <w:sz w:val="28"/>
          <w:szCs w:val="28"/>
        </w:rPr>
        <w:t xml:space="preserve">Поступательно меняются подходы к управлению предприятиями коммунального хозяйства, за счет перехода на более эффективные (концессионные </w:t>
      </w:r>
      <w:r>
        <w:rPr>
          <w:rFonts w:ascii="Times New Roman" w:hAnsi="Times New Roman" w:cs="Times New Roman"/>
          <w:sz w:val="28"/>
          <w:szCs w:val="28"/>
        </w:rPr>
        <w:t>соглашения/долгосрочная аренда).</w:t>
      </w:r>
    </w:p>
    <w:p w:rsidR="0020309F" w:rsidRPr="00317731" w:rsidRDefault="0020309F" w:rsidP="0020309F">
      <w:pPr>
        <w:widowControl w:val="0"/>
        <w:autoSpaceDE w:val="0"/>
        <w:autoSpaceDN w:val="0"/>
        <w:adjustRightInd w:val="0"/>
        <w:spacing w:after="0"/>
        <w:ind w:firstLine="540"/>
        <w:jc w:val="both"/>
        <w:rPr>
          <w:rFonts w:ascii="Times New Roman" w:hAnsi="Times New Roman" w:cs="Times New Roman"/>
          <w:sz w:val="28"/>
          <w:szCs w:val="28"/>
        </w:rPr>
      </w:pPr>
      <w:r w:rsidRPr="00317731">
        <w:rPr>
          <w:rFonts w:ascii="Times New Roman" w:hAnsi="Times New Roman" w:cs="Times New Roman"/>
          <w:sz w:val="28"/>
          <w:szCs w:val="28"/>
        </w:rPr>
        <w:t xml:space="preserve">Примерами государственно-частного партнерства на условиях концессии в округе являются концессионные соглашения в отношении коммунальной инфраструктуры </w:t>
      </w:r>
      <w:proofErr w:type="spellStart"/>
      <w:r w:rsidRPr="00317731">
        <w:rPr>
          <w:rFonts w:ascii="Times New Roman" w:hAnsi="Times New Roman" w:cs="Times New Roman"/>
          <w:sz w:val="28"/>
          <w:szCs w:val="28"/>
        </w:rPr>
        <w:t>пгт</w:t>
      </w:r>
      <w:proofErr w:type="spellEnd"/>
      <w:r w:rsidRPr="00317731">
        <w:rPr>
          <w:rFonts w:ascii="Times New Roman" w:hAnsi="Times New Roman" w:cs="Times New Roman"/>
          <w:sz w:val="28"/>
          <w:szCs w:val="28"/>
        </w:rPr>
        <w:t xml:space="preserve">. Междуреченский </w:t>
      </w:r>
      <w:proofErr w:type="spellStart"/>
      <w:r w:rsidRPr="00317731">
        <w:rPr>
          <w:rFonts w:ascii="Times New Roman" w:hAnsi="Times New Roman" w:cs="Times New Roman"/>
          <w:sz w:val="28"/>
          <w:szCs w:val="28"/>
        </w:rPr>
        <w:t>Кондинского</w:t>
      </w:r>
      <w:proofErr w:type="spellEnd"/>
      <w:r w:rsidRPr="00317731">
        <w:rPr>
          <w:rFonts w:ascii="Times New Roman" w:hAnsi="Times New Roman" w:cs="Times New Roman"/>
          <w:sz w:val="28"/>
          <w:szCs w:val="28"/>
        </w:rPr>
        <w:t xml:space="preserve"> района, включающей системы теплоснабжения, водоснабжения и водоотведения, между ООО "Концессионная коммунальная компания" и администрацией </w:t>
      </w:r>
      <w:proofErr w:type="spellStart"/>
      <w:r w:rsidRPr="00317731">
        <w:rPr>
          <w:rFonts w:ascii="Times New Roman" w:hAnsi="Times New Roman" w:cs="Times New Roman"/>
          <w:sz w:val="28"/>
          <w:szCs w:val="28"/>
        </w:rPr>
        <w:t>Кондинского</w:t>
      </w:r>
      <w:proofErr w:type="spellEnd"/>
      <w:r w:rsidRPr="00317731">
        <w:rPr>
          <w:rFonts w:ascii="Times New Roman" w:hAnsi="Times New Roman" w:cs="Times New Roman"/>
          <w:sz w:val="28"/>
          <w:szCs w:val="28"/>
        </w:rPr>
        <w:t xml:space="preserve"> </w:t>
      </w:r>
      <w:r w:rsidRPr="00317731">
        <w:rPr>
          <w:rFonts w:ascii="Times New Roman" w:hAnsi="Times New Roman" w:cs="Times New Roman"/>
          <w:sz w:val="28"/>
          <w:szCs w:val="28"/>
        </w:rPr>
        <w:lastRenderedPageBreak/>
        <w:t>района на период до 1 июня 2028 года.</w:t>
      </w:r>
      <w:r>
        <w:rPr>
          <w:rFonts w:ascii="Times New Roman" w:hAnsi="Times New Roman" w:cs="Times New Roman"/>
          <w:sz w:val="28"/>
          <w:szCs w:val="28"/>
        </w:rPr>
        <w:t xml:space="preserve"> </w:t>
      </w:r>
      <w:r w:rsidRPr="00317731">
        <w:rPr>
          <w:rFonts w:ascii="Times New Roman" w:hAnsi="Times New Roman" w:cs="Times New Roman"/>
          <w:sz w:val="28"/>
          <w:szCs w:val="28"/>
        </w:rPr>
        <w:t xml:space="preserve">Всего в Югре реализуется 5 концессионных соглашений: 3 в г. Когалыме и 1 в </w:t>
      </w:r>
      <w:proofErr w:type="spellStart"/>
      <w:r w:rsidRPr="00317731">
        <w:rPr>
          <w:rFonts w:ascii="Times New Roman" w:hAnsi="Times New Roman" w:cs="Times New Roman"/>
          <w:sz w:val="28"/>
          <w:szCs w:val="28"/>
        </w:rPr>
        <w:t>пгт</w:t>
      </w:r>
      <w:proofErr w:type="spellEnd"/>
      <w:r w:rsidRPr="00317731">
        <w:rPr>
          <w:rFonts w:ascii="Times New Roman" w:hAnsi="Times New Roman" w:cs="Times New Roman"/>
          <w:sz w:val="28"/>
          <w:szCs w:val="28"/>
        </w:rPr>
        <w:t>. Междуреченский</w:t>
      </w:r>
      <w:r>
        <w:rPr>
          <w:rFonts w:ascii="Times New Roman" w:hAnsi="Times New Roman" w:cs="Times New Roman"/>
          <w:sz w:val="28"/>
          <w:szCs w:val="28"/>
        </w:rPr>
        <w:t xml:space="preserve"> </w:t>
      </w:r>
      <w:proofErr w:type="spellStart"/>
      <w:r w:rsidRPr="00317731">
        <w:rPr>
          <w:rFonts w:ascii="Times New Roman" w:hAnsi="Times New Roman" w:cs="Times New Roman"/>
          <w:sz w:val="28"/>
          <w:szCs w:val="28"/>
        </w:rPr>
        <w:t>Кондинского</w:t>
      </w:r>
      <w:proofErr w:type="spellEnd"/>
      <w:r w:rsidRPr="00317731">
        <w:rPr>
          <w:rFonts w:ascii="Times New Roman" w:hAnsi="Times New Roman" w:cs="Times New Roman"/>
          <w:sz w:val="28"/>
          <w:szCs w:val="28"/>
        </w:rPr>
        <w:t xml:space="preserve"> района, 1 соглашение в Советском </w:t>
      </w:r>
      <w:proofErr w:type="gramStart"/>
      <w:r w:rsidRPr="00317731">
        <w:rPr>
          <w:rFonts w:ascii="Times New Roman" w:hAnsi="Times New Roman" w:cs="Times New Roman"/>
          <w:sz w:val="28"/>
          <w:szCs w:val="28"/>
        </w:rPr>
        <w:t>районе,  а</w:t>
      </w:r>
      <w:proofErr w:type="gramEnd"/>
      <w:r w:rsidRPr="00317731">
        <w:rPr>
          <w:rFonts w:ascii="Times New Roman" w:hAnsi="Times New Roman" w:cs="Times New Roman"/>
          <w:sz w:val="28"/>
          <w:szCs w:val="28"/>
        </w:rPr>
        <w:t xml:space="preserve"> также 125 договоров долгосрочной аренды:</w:t>
      </w:r>
    </w:p>
    <w:p w:rsidR="0020309F" w:rsidRPr="00317731" w:rsidRDefault="0020309F" w:rsidP="0020309F">
      <w:pPr>
        <w:widowControl w:val="0"/>
        <w:autoSpaceDE w:val="0"/>
        <w:autoSpaceDN w:val="0"/>
        <w:adjustRightInd w:val="0"/>
        <w:spacing w:after="0"/>
        <w:ind w:firstLine="540"/>
        <w:jc w:val="both"/>
        <w:rPr>
          <w:rFonts w:ascii="Times New Roman" w:hAnsi="Times New Roman" w:cs="Times New Roman"/>
          <w:sz w:val="28"/>
          <w:szCs w:val="28"/>
        </w:rPr>
      </w:pPr>
      <w:r w:rsidRPr="00317731">
        <w:rPr>
          <w:rFonts w:ascii="Times New Roman" w:hAnsi="Times New Roman" w:cs="Times New Roman"/>
          <w:sz w:val="28"/>
          <w:szCs w:val="28"/>
        </w:rPr>
        <w:t>Ед.</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4"/>
        <w:gridCol w:w="1514"/>
        <w:gridCol w:w="1514"/>
        <w:gridCol w:w="1514"/>
        <w:gridCol w:w="1514"/>
        <w:gridCol w:w="1656"/>
      </w:tblGrid>
      <w:tr w:rsidR="0020309F" w:rsidRPr="001602B1" w:rsidTr="00E80C8C">
        <w:trPr>
          <w:trHeight w:val="423"/>
        </w:trPr>
        <w:tc>
          <w:tcPr>
            <w:tcW w:w="1514"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2010</w:t>
            </w:r>
          </w:p>
        </w:tc>
        <w:tc>
          <w:tcPr>
            <w:tcW w:w="1514"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2011</w:t>
            </w:r>
          </w:p>
        </w:tc>
        <w:tc>
          <w:tcPr>
            <w:tcW w:w="1514"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2012</w:t>
            </w:r>
          </w:p>
        </w:tc>
        <w:tc>
          <w:tcPr>
            <w:tcW w:w="1514"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2013</w:t>
            </w:r>
          </w:p>
        </w:tc>
        <w:tc>
          <w:tcPr>
            <w:tcW w:w="1514"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2014</w:t>
            </w:r>
          </w:p>
        </w:tc>
        <w:tc>
          <w:tcPr>
            <w:tcW w:w="1656"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2015*</w:t>
            </w:r>
          </w:p>
        </w:tc>
      </w:tr>
      <w:tr w:rsidR="0020309F" w:rsidRPr="001602B1" w:rsidTr="00E80C8C">
        <w:trPr>
          <w:trHeight w:val="438"/>
        </w:trPr>
        <w:tc>
          <w:tcPr>
            <w:tcW w:w="1514"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3</w:t>
            </w:r>
          </w:p>
        </w:tc>
        <w:tc>
          <w:tcPr>
            <w:tcW w:w="1514"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3</w:t>
            </w:r>
          </w:p>
        </w:tc>
        <w:tc>
          <w:tcPr>
            <w:tcW w:w="1514"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3</w:t>
            </w:r>
          </w:p>
        </w:tc>
        <w:tc>
          <w:tcPr>
            <w:tcW w:w="1514"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5</w:t>
            </w:r>
          </w:p>
        </w:tc>
        <w:tc>
          <w:tcPr>
            <w:tcW w:w="1514"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5</w:t>
            </w:r>
          </w:p>
        </w:tc>
        <w:tc>
          <w:tcPr>
            <w:tcW w:w="1656"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6</w:t>
            </w:r>
          </w:p>
        </w:tc>
      </w:tr>
      <w:tr w:rsidR="0020309F" w:rsidRPr="001602B1" w:rsidTr="00E80C8C">
        <w:trPr>
          <w:trHeight w:val="438"/>
        </w:trPr>
        <w:tc>
          <w:tcPr>
            <w:tcW w:w="1514"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w:t>
            </w:r>
          </w:p>
        </w:tc>
        <w:tc>
          <w:tcPr>
            <w:tcW w:w="1514"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w:t>
            </w:r>
          </w:p>
        </w:tc>
        <w:tc>
          <w:tcPr>
            <w:tcW w:w="1514"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w:t>
            </w:r>
          </w:p>
        </w:tc>
        <w:tc>
          <w:tcPr>
            <w:tcW w:w="1514"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w:t>
            </w:r>
          </w:p>
        </w:tc>
        <w:tc>
          <w:tcPr>
            <w:tcW w:w="1514"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125</w:t>
            </w:r>
          </w:p>
        </w:tc>
        <w:tc>
          <w:tcPr>
            <w:tcW w:w="1656"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1004</w:t>
            </w:r>
          </w:p>
        </w:tc>
      </w:tr>
    </w:tbl>
    <w:p w:rsidR="0020309F" w:rsidRPr="00317731" w:rsidRDefault="0020309F" w:rsidP="0020309F">
      <w:pPr>
        <w:widowControl w:val="0"/>
        <w:autoSpaceDE w:val="0"/>
        <w:autoSpaceDN w:val="0"/>
        <w:adjustRightInd w:val="0"/>
        <w:spacing w:after="0"/>
        <w:ind w:firstLine="708"/>
        <w:jc w:val="both"/>
        <w:rPr>
          <w:rFonts w:ascii="Times New Roman" w:hAnsi="Times New Roman" w:cs="Times New Roman"/>
          <w:sz w:val="28"/>
          <w:szCs w:val="28"/>
        </w:rPr>
      </w:pPr>
      <w:r w:rsidRPr="00317731">
        <w:rPr>
          <w:rFonts w:ascii="Times New Roman" w:hAnsi="Times New Roman" w:cs="Times New Roman"/>
          <w:sz w:val="28"/>
          <w:szCs w:val="28"/>
        </w:rPr>
        <w:t>* - оценка</w:t>
      </w:r>
    </w:p>
    <w:p w:rsidR="0020309F" w:rsidRPr="00317731" w:rsidRDefault="0020309F" w:rsidP="0020309F">
      <w:pPr>
        <w:widowControl w:val="0"/>
        <w:autoSpaceDE w:val="0"/>
        <w:autoSpaceDN w:val="0"/>
        <w:adjustRightInd w:val="0"/>
        <w:spacing w:after="0"/>
        <w:ind w:firstLine="567"/>
        <w:jc w:val="both"/>
        <w:rPr>
          <w:rFonts w:ascii="Times New Roman" w:hAnsi="Times New Roman" w:cs="Times New Roman"/>
          <w:sz w:val="28"/>
          <w:szCs w:val="28"/>
        </w:rPr>
      </w:pPr>
      <w:r w:rsidRPr="00317731">
        <w:rPr>
          <w:rFonts w:ascii="Times New Roman" w:hAnsi="Times New Roman" w:cs="Times New Roman"/>
          <w:sz w:val="28"/>
          <w:szCs w:val="28"/>
        </w:rPr>
        <w:t>В муниципальных образованиях автономного округа проводится работа по строительству и реконструкции объектов водоснабжения, водоотведения, теплоснабжения и газоснабжения. Так, в целях модернизации коммунального комплекса автономного округа в период в период 2010 - 2014 гг. из бюджета автономного округа профинансировано 6 054,8 млн. рублей</w:t>
      </w:r>
      <w:r>
        <w:rPr>
          <w:rFonts w:ascii="Times New Roman" w:hAnsi="Times New Roman" w:cs="Times New Roman"/>
          <w:sz w:val="28"/>
          <w:szCs w:val="28"/>
        </w:rPr>
        <w:t xml:space="preserve">, в том числе в 2014 году – 1 225,4 </w:t>
      </w:r>
      <w:proofErr w:type="spellStart"/>
      <w:r>
        <w:rPr>
          <w:rFonts w:ascii="Times New Roman" w:hAnsi="Times New Roman" w:cs="Times New Roman"/>
          <w:sz w:val="28"/>
          <w:szCs w:val="28"/>
        </w:rPr>
        <w:t>млн.рублей</w:t>
      </w:r>
      <w:proofErr w:type="spellEnd"/>
      <w:r w:rsidRPr="00317731">
        <w:rPr>
          <w:rFonts w:ascii="Times New Roman" w:hAnsi="Times New Roman" w:cs="Times New Roman"/>
          <w:sz w:val="28"/>
          <w:szCs w:val="28"/>
        </w:rPr>
        <w:t>. В 2015 году из окружного бюджета планируется выделить 1 072,5 млн. рублей.</w:t>
      </w:r>
    </w:p>
    <w:p w:rsidR="0020309F" w:rsidRDefault="0020309F" w:rsidP="0020309F">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млн. рублей</w:t>
      </w:r>
      <w:r>
        <w:rPr>
          <w:rFonts w:ascii="Times New Roman" w:hAnsi="Times New Roman" w:cs="Times New Roman"/>
          <w:sz w:val="28"/>
          <w:szCs w:val="28"/>
        </w:rPr>
        <w:t>.</w:t>
      </w:r>
    </w:p>
    <w:p w:rsidR="0020309F" w:rsidRPr="00317731" w:rsidRDefault="0020309F" w:rsidP="0020309F">
      <w:pPr>
        <w:widowControl w:val="0"/>
        <w:autoSpaceDE w:val="0"/>
        <w:autoSpaceDN w:val="0"/>
        <w:adjustRightInd w:val="0"/>
        <w:spacing w:after="0"/>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98"/>
        <w:gridCol w:w="1499"/>
        <w:gridCol w:w="1499"/>
        <w:gridCol w:w="1499"/>
        <w:gridCol w:w="1499"/>
        <w:gridCol w:w="1499"/>
      </w:tblGrid>
      <w:tr w:rsidR="0020309F" w:rsidRPr="001602B1" w:rsidTr="00E80C8C">
        <w:trPr>
          <w:trHeight w:val="739"/>
          <w:jc w:val="center"/>
        </w:trPr>
        <w:tc>
          <w:tcPr>
            <w:tcW w:w="1498" w:type="dxa"/>
            <w:vAlign w:val="center"/>
          </w:tcPr>
          <w:p w:rsidR="0020309F" w:rsidRPr="00D7073E" w:rsidRDefault="0020309F" w:rsidP="00E80C8C">
            <w:pPr>
              <w:widowControl w:val="0"/>
              <w:autoSpaceDE w:val="0"/>
              <w:autoSpaceDN w:val="0"/>
              <w:adjustRightInd w:val="0"/>
              <w:spacing w:after="0"/>
              <w:jc w:val="center"/>
              <w:rPr>
                <w:rFonts w:ascii="Times New Roman" w:hAnsi="Times New Roman" w:cs="Times New Roman"/>
                <w:sz w:val="20"/>
                <w:szCs w:val="20"/>
              </w:rPr>
            </w:pPr>
            <w:r w:rsidRPr="00D7073E">
              <w:rPr>
                <w:rFonts w:ascii="Times New Roman" w:hAnsi="Times New Roman" w:cs="Times New Roman"/>
                <w:sz w:val="20"/>
                <w:szCs w:val="20"/>
              </w:rPr>
              <w:t>2010</w:t>
            </w:r>
          </w:p>
        </w:tc>
        <w:tc>
          <w:tcPr>
            <w:tcW w:w="1499" w:type="dxa"/>
            <w:vAlign w:val="center"/>
          </w:tcPr>
          <w:p w:rsidR="0020309F" w:rsidRPr="00D7073E" w:rsidRDefault="0020309F" w:rsidP="00E80C8C">
            <w:pPr>
              <w:widowControl w:val="0"/>
              <w:autoSpaceDE w:val="0"/>
              <w:autoSpaceDN w:val="0"/>
              <w:adjustRightInd w:val="0"/>
              <w:spacing w:after="0"/>
              <w:jc w:val="center"/>
              <w:rPr>
                <w:rFonts w:ascii="Times New Roman" w:hAnsi="Times New Roman" w:cs="Times New Roman"/>
                <w:sz w:val="20"/>
                <w:szCs w:val="20"/>
              </w:rPr>
            </w:pPr>
            <w:r w:rsidRPr="00D7073E">
              <w:rPr>
                <w:rFonts w:ascii="Times New Roman" w:hAnsi="Times New Roman" w:cs="Times New Roman"/>
                <w:sz w:val="20"/>
                <w:szCs w:val="20"/>
              </w:rPr>
              <w:t>2011</w:t>
            </w:r>
          </w:p>
        </w:tc>
        <w:tc>
          <w:tcPr>
            <w:tcW w:w="1499" w:type="dxa"/>
            <w:vAlign w:val="center"/>
          </w:tcPr>
          <w:p w:rsidR="0020309F" w:rsidRPr="00D7073E" w:rsidRDefault="0020309F" w:rsidP="00E80C8C">
            <w:pPr>
              <w:widowControl w:val="0"/>
              <w:autoSpaceDE w:val="0"/>
              <w:autoSpaceDN w:val="0"/>
              <w:adjustRightInd w:val="0"/>
              <w:spacing w:after="0"/>
              <w:jc w:val="center"/>
              <w:rPr>
                <w:rFonts w:ascii="Times New Roman" w:hAnsi="Times New Roman" w:cs="Times New Roman"/>
                <w:sz w:val="20"/>
                <w:szCs w:val="20"/>
              </w:rPr>
            </w:pPr>
            <w:r w:rsidRPr="00D7073E">
              <w:rPr>
                <w:rFonts w:ascii="Times New Roman" w:hAnsi="Times New Roman" w:cs="Times New Roman"/>
                <w:sz w:val="20"/>
                <w:szCs w:val="20"/>
              </w:rPr>
              <w:t>2012</w:t>
            </w:r>
          </w:p>
        </w:tc>
        <w:tc>
          <w:tcPr>
            <w:tcW w:w="1499" w:type="dxa"/>
            <w:vAlign w:val="center"/>
          </w:tcPr>
          <w:p w:rsidR="0020309F" w:rsidRPr="00D7073E" w:rsidRDefault="0020309F" w:rsidP="00E80C8C">
            <w:pPr>
              <w:widowControl w:val="0"/>
              <w:autoSpaceDE w:val="0"/>
              <w:autoSpaceDN w:val="0"/>
              <w:adjustRightInd w:val="0"/>
              <w:spacing w:after="0"/>
              <w:jc w:val="center"/>
              <w:rPr>
                <w:rFonts w:ascii="Times New Roman" w:hAnsi="Times New Roman" w:cs="Times New Roman"/>
                <w:sz w:val="20"/>
                <w:szCs w:val="20"/>
              </w:rPr>
            </w:pPr>
            <w:r w:rsidRPr="00D7073E">
              <w:rPr>
                <w:rFonts w:ascii="Times New Roman" w:hAnsi="Times New Roman" w:cs="Times New Roman"/>
                <w:sz w:val="20"/>
                <w:szCs w:val="20"/>
              </w:rPr>
              <w:t>2013</w:t>
            </w:r>
          </w:p>
        </w:tc>
        <w:tc>
          <w:tcPr>
            <w:tcW w:w="1499" w:type="dxa"/>
            <w:vAlign w:val="center"/>
          </w:tcPr>
          <w:p w:rsidR="0020309F" w:rsidRPr="00D7073E" w:rsidRDefault="0020309F" w:rsidP="00E80C8C">
            <w:pPr>
              <w:widowControl w:val="0"/>
              <w:autoSpaceDE w:val="0"/>
              <w:autoSpaceDN w:val="0"/>
              <w:adjustRightInd w:val="0"/>
              <w:spacing w:after="0"/>
              <w:jc w:val="center"/>
              <w:rPr>
                <w:rFonts w:ascii="Times New Roman" w:hAnsi="Times New Roman" w:cs="Times New Roman"/>
                <w:sz w:val="20"/>
                <w:szCs w:val="20"/>
              </w:rPr>
            </w:pPr>
            <w:r w:rsidRPr="00D7073E">
              <w:rPr>
                <w:rFonts w:ascii="Times New Roman" w:hAnsi="Times New Roman" w:cs="Times New Roman"/>
                <w:sz w:val="20"/>
                <w:szCs w:val="20"/>
              </w:rPr>
              <w:t>2014</w:t>
            </w:r>
          </w:p>
        </w:tc>
        <w:tc>
          <w:tcPr>
            <w:tcW w:w="1499" w:type="dxa"/>
            <w:vAlign w:val="center"/>
          </w:tcPr>
          <w:p w:rsidR="0020309F" w:rsidRPr="00D7073E" w:rsidRDefault="0020309F" w:rsidP="00E80C8C">
            <w:pPr>
              <w:widowControl w:val="0"/>
              <w:autoSpaceDE w:val="0"/>
              <w:autoSpaceDN w:val="0"/>
              <w:adjustRightInd w:val="0"/>
              <w:spacing w:after="0"/>
              <w:jc w:val="center"/>
              <w:rPr>
                <w:rFonts w:ascii="Times New Roman" w:hAnsi="Times New Roman" w:cs="Times New Roman"/>
                <w:sz w:val="20"/>
                <w:szCs w:val="20"/>
              </w:rPr>
            </w:pPr>
            <w:r w:rsidRPr="00D7073E">
              <w:rPr>
                <w:rFonts w:ascii="Times New Roman" w:hAnsi="Times New Roman" w:cs="Times New Roman"/>
                <w:sz w:val="20"/>
                <w:szCs w:val="20"/>
              </w:rPr>
              <w:t>2015</w:t>
            </w:r>
          </w:p>
        </w:tc>
      </w:tr>
      <w:tr w:rsidR="0020309F" w:rsidRPr="001602B1" w:rsidTr="00E80C8C">
        <w:trPr>
          <w:trHeight w:val="777"/>
          <w:jc w:val="center"/>
        </w:trPr>
        <w:tc>
          <w:tcPr>
            <w:tcW w:w="1498" w:type="dxa"/>
            <w:vAlign w:val="center"/>
          </w:tcPr>
          <w:p w:rsidR="0020309F" w:rsidRPr="00D7073E" w:rsidRDefault="0020309F" w:rsidP="00E80C8C">
            <w:pPr>
              <w:widowControl w:val="0"/>
              <w:autoSpaceDE w:val="0"/>
              <w:autoSpaceDN w:val="0"/>
              <w:adjustRightInd w:val="0"/>
              <w:spacing w:after="0"/>
              <w:jc w:val="center"/>
              <w:rPr>
                <w:rFonts w:ascii="Times New Roman" w:hAnsi="Times New Roman" w:cs="Times New Roman"/>
                <w:sz w:val="20"/>
                <w:szCs w:val="20"/>
              </w:rPr>
            </w:pPr>
            <w:r w:rsidRPr="00D7073E">
              <w:rPr>
                <w:rFonts w:ascii="Times New Roman" w:hAnsi="Times New Roman" w:cs="Times New Roman"/>
                <w:sz w:val="20"/>
                <w:szCs w:val="20"/>
              </w:rPr>
              <w:t>149,9</w:t>
            </w:r>
          </w:p>
        </w:tc>
        <w:tc>
          <w:tcPr>
            <w:tcW w:w="1499" w:type="dxa"/>
            <w:vAlign w:val="center"/>
          </w:tcPr>
          <w:p w:rsidR="0020309F" w:rsidRPr="00D7073E" w:rsidRDefault="0020309F" w:rsidP="00E80C8C">
            <w:pPr>
              <w:widowControl w:val="0"/>
              <w:autoSpaceDE w:val="0"/>
              <w:autoSpaceDN w:val="0"/>
              <w:adjustRightInd w:val="0"/>
              <w:spacing w:after="0"/>
              <w:jc w:val="center"/>
              <w:rPr>
                <w:rFonts w:ascii="Times New Roman" w:hAnsi="Times New Roman" w:cs="Times New Roman"/>
                <w:sz w:val="20"/>
                <w:szCs w:val="20"/>
              </w:rPr>
            </w:pPr>
            <w:r w:rsidRPr="00D7073E">
              <w:rPr>
                <w:rFonts w:ascii="Times New Roman" w:hAnsi="Times New Roman" w:cs="Times New Roman"/>
                <w:sz w:val="20"/>
                <w:szCs w:val="20"/>
              </w:rPr>
              <w:t>733,0</w:t>
            </w:r>
          </w:p>
        </w:tc>
        <w:tc>
          <w:tcPr>
            <w:tcW w:w="1499" w:type="dxa"/>
            <w:vAlign w:val="center"/>
          </w:tcPr>
          <w:p w:rsidR="0020309F" w:rsidRPr="00D7073E" w:rsidRDefault="0020309F" w:rsidP="00E80C8C">
            <w:pPr>
              <w:widowControl w:val="0"/>
              <w:autoSpaceDE w:val="0"/>
              <w:autoSpaceDN w:val="0"/>
              <w:adjustRightInd w:val="0"/>
              <w:spacing w:after="0"/>
              <w:jc w:val="center"/>
              <w:rPr>
                <w:rFonts w:ascii="Times New Roman" w:hAnsi="Times New Roman" w:cs="Times New Roman"/>
                <w:sz w:val="20"/>
                <w:szCs w:val="20"/>
              </w:rPr>
            </w:pPr>
            <w:r w:rsidRPr="00D7073E">
              <w:rPr>
                <w:rFonts w:ascii="Times New Roman" w:hAnsi="Times New Roman" w:cs="Times New Roman"/>
                <w:sz w:val="20"/>
                <w:szCs w:val="20"/>
              </w:rPr>
              <w:t>1 323,5</w:t>
            </w:r>
          </w:p>
        </w:tc>
        <w:tc>
          <w:tcPr>
            <w:tcW w:w="1499" w:type="dxa"/>
            <w:vAlign w:val="center"/>
          </w:tcPr>
          <w:p w:rsidR="0020309F" w:rsidRPr="00D7073E" w:rsidRDefault="0020309F" w:rsidP="00E80C8C">
            <w:pPr>
              <w:widowControl w:val="0"/>
              <w:autoSpaceDE w:val="0"/>
              <w:autoSpaceDN w:val="0"/>
              <w:adjustRightInd w:val="0"/>
              <w:spacing w:after="0"/>
              <w:jc w:val="center"/>
              <w:rPr>
                <w:rFonts w:ascii="Times New Roman" w:hAnsi="Times New Roman" w:cs="Times New Roman"/>
                <w:sz w:val="20"/>
                <w:szCs w:val="20"/>
              </w:rPr>
            </w:pPr>
            <w:r w:rsidRPr="00D7073E">
              <w:rPr>
                <w:rFonts w:ascii="Times New Roman" w:hAnsi="Times New Roman" w:cs="Times New Roman"/>
                <w:sz w:val="20"/>
                <w:szCs w:val="20"/>
              </w:rPr>
              <w:t>2 623,0</w:t>
            </w:r>
          </w:p>
        </w:tc>
        <w:tc>
          <w:tcPr>
            <w:tcW w:w="1499" w:type="dxa"/>
            <w:vAlign w:val="center"/>
          </w:tcPr>
          <w:p w:rsidR="0020309F" w:rsidRPr="00D7073E" w:rsidRDefault="0020309F" w:rsidP="00E80C8C">
            <w:pPr>
              <w:widowControl w:val="0"/>
              <w:autoSpaceDE w:val="0"/>
              <w:autoSpaceDN w:val="0"/>
              <w:adjustRightInd w:val="0"/>
              <w:spacing w:after="0"/>
              <w:jc w:val="center"/>
              <w:rPr>
                <w:rFonts w:ascii="Times New Roman" w:hAnsi="Times New Roman" w:cs="Times New Roman"/>
                <w:sz w:val="20"/>
                <w:szCs w:val="20"/>
              </w:rPr>
            </w:pPr>
            <w:r w:rsidRPr="00D7073E">
              <w:rPr>
                <w:rFonts w:ascii="Times New Roman" w:hAnsi="Times New Roman" w:cs="Times New Roman"/>
                <w:sz w:val="20"/>
                <w:szCs w:val="20"/>
              </w:rPr>
              <w:t>1 225,4</w:t>
            </w:r>
          </w:p>
        </w:tc>
        <w:tc>
          <w:tcPr>
            <w:tcW w:w="1499" w:type="dxa"/>
            <w:vAlign w:val="center"/>
          </w:tcPr>
          <w:p w:rsidR="0020309F" w:rsidRPr="00D7073E" w:rsidRDefault="0020309F" w:rsidP="00E80C8C">
            <w:pPr>
              <w:widowControl w:val="0"/>
              <w:autoSpaceDE w:val="0"/>
              <w:autoSpaceDN w:val="0"/>
              <w:adjustRightInd w:val="0"/>
              <w:spacing w:after="0"/>
              <w:jc w:val="center"/>
              <w:rPr>
                <w:rFonts w:ascii="Times New Roman" w:hAnsi="Times New Roman" w:cs="Times New Roman"/>
                <w:sz w:val="20"/>
                <w:szCs w:val="20"/>
              </w:rPr>
            </w:pPr>
            <w:r w:rsidRPr="00D7073E">
              <w:rPr>
                <w:rFonts w:ascii="Times New Roman" w:hAnsi="Times New Roman" w:cs="Times New Roman"/>
                <w:sz w:val="20"/>
                <w:szCs w:val="20"/>
              </w:rPr>
              <w:t>1 072,5</w:t>
            </w:r>
          </w:p>
        </w:tc>
      </w:tr>
    </w:tbl>
    <w:p w:rsidR="0020309F" w:rsidRPr="00317731" w:rsidRDefault="0020309F" w:rsidP="0020309F">
      <w:pPr>
        <w:widowControl w:val="0"/>
        <w:autoSpaceDE w:val="0"/>
        <w:autoSpaceDN w:val="0"/>
        <w:adjustRightInd w:val="0"/>
        <w:spacing w:after="0"/>
        <w:ind w:firstLine="708"/>
        <w:jc w:val="both"/>
        <w:rPr>
          <w:rFonts w:ascii="Times New Roman" w:hAnsi="Times New Roman" w:cs="Times New Roman"/>
          <w:sz w:val="28"/>
          <w:szCs w:val="28"/>
        </w:rPr>
      </w:pPr>
    </w:p>
    <w:p w:rsidR="0020309F" w:rsidRPr="00317731" w:rsidRDefault="0020309F" w:rsidP="0020309F">
      <w:pPr>
        <w:widowControl w:val="0"/>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5753100" cy="2266950"/>
            <wp:effectExtent l="0" t="0" r="0" b="0"/>
            <wp:docPr id="9" name="Рисунок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6"/>
                    <pic:cNvPicPr>
                      <a:picLocks noChangeArrowheads="1"/>
                    </pic:cNvPicPr>
                  </pic:nvPicPr>
                  <pic:blipFill>
                    <a:blip r:embed="rId7">
                      <a:extLst>
                        <a:ext uri="{28A0092B-C50C-407E-A947-70E740481C1C}">
                          <a14:useLocalDpi xmlns:a14="http://schemas.microsoft.com/office/drawing/2010/main" val="0"/>
                        </a:ext>
                      </a:extLst>
                    </a:blip>
                    <a:srcRect l="-16919" t="-11176" r="-16331" b="-13315"/>
                    <a:stretch>
                      <a:fillRect/>
                    </a:stretch>
                  </pic:blipFill>
                  <pic:spPr bwMode="auto">
                    <a:xfrm>
                      <a:off x="0" y="0"/>
                      <a:ext cx="5753100" cy="2266950"/>
                    </a:xfrm>
                    <a:prstGeom prst="rect">
                      <a:avLst/>
                    </a:prstGeom>
                    <a:noFill/>
                    <a:ln>
                      <a:noFill/>
                    </a:ln>
                  </pic:spPr>
                </pic:pic>
              </a:graphicData>
            </a:graphic>
          </wp:inline>
        </w:drawing>
      </w:r>
    </w:p>
    <w:p w:rsidR="0020309F" w:rsidRPr="00317731" w:rsidRDefault="0020309F" w:rsidP="0020309F">
      <w:pPr>
        <w:widowControl w:val="0"/>
        <w:autoSpaceDE w:val="0"/>
        <w:autoSpaceDN w:val="0"/>
        <w:adjustRightInd w:val="0"/>
        <w:spacing w:after="0"/>
        <w:ind w:firstLine="567"/>
        <w:jc w:val="both"/>
        <w:rPr>
          <w:rFonts w:ascii="Times New Roman" w:hAnsi="Times New Roman" w:cs="Times New Roman"/>
          <w:sz w:val="28"/>
          <w:szCs w:val="28"/>
        </w:rPr>
      </w:pPr>
      <w:r w:rsidRPr="00317731">
        <w:rPr>
          <w:rFonts w:ascii="Times New Roman" w:hAnsi="Times New Roman" w:cs="Times New Roman"/>
          <w:sz w:val="28"/>
          <w:szCs w:val="28"/>
        </w:rPr>
        <w:t xml:space="preserve">Увеличение объемов капитальных вложений в коммунальный комплекс Югры позволило ввести в эксплуатацию в период 2010 - 2014 гг. – </w:t>
      </w:r>
      <w:r>
        <w:rPr>
          <w:rFonts w:ascii="Times New Roman" w:hAnsi="Times New Roman" w:cs="Times New Roman"/>
          <w:sz w:val="28"/>
          <w:szCs w:val="28"/>
        </w:rPr>
        <w:t>55</w:t>
      </w:r>
      <w:r w:rsidRPr="00317731">
        <w:rPr>
          <w:rFonts w:ascii="Times New Roman" w:hAnsi="Times New Roman" w:cs="Times New Roman"/>
          <w:sz w:val="28"/>
          <w:szCs w:val="28"/>
        </w:rPr>
        <w:t xml:space="preserve"> объектов</w:t>
      </w:r>
      <w:r>
        <w:rPr>
          <w:rFonts w:ascii="Times New Roman" w:hAnsi="Times New Roman" w:cs="Times New Roman"/>
          <w:sz w:val="28"/>
          <w:szCs w:val="28"/>
        </w:rPr>
        <w:t xml:space="preserve">, в том числе в 2014 году – 13 объектов (3 этап строительства сетей газоснабжения микрорайона 11 А в Нефтеюганске, канализационный коллектор в Сургуте, малогабаритная автоматизированная котельная МАК-8 в </w:t>
      </w:r>
      <w:proofErr w:type="spellStart"/>
      <w:r>
        <w:rPr>
          <w:rFonts w:ascii="Times New Roman" w:hAnsi="Times New Roman" w:cs="Times New Roman"/>
          <w:sz w:val="28"/>
          <w:szCs w:val="28"/>
        </w:rPr>
        <w:t>Урае</w:t>
      </w:r>
      <w:proofErr w:type="spellEnd"/>
      <w:r>
        <w:rPr>
          <w:rFonts w:ascii="Times New Roman" w:hAnsi="Times New Roman" w:cs="Times New Roman"/>
          <w:sz w:val="28"/>
          <w:szCs w:val="28"/>
        </w:rPr>
        <w:t xml:space="preserve">, реконструкция водоочистных сооружений в </w:t>
      </w:r>
      <w:proofErr w:type="spellStart"/>
      <w:r>
        <w:rPr>
          <w:rFonts w:ascii="Times New Roman" w:hAnsi="Times New Roman" w:cs="Times New Roman"/>
          <w:sz w:val="28"/>
          <w:szCs w:val="28"/>
        </w:rPr>
        <w:t>п.Сорум</w:t>
      </w:r>
      <w:proofErr w:type="spellEnd"/>
      <w:r>
        <w:rPr>
          <w:rFonts w:ascii="Times New Roman" w:hAnsi="Times New Roman" w:cs="Times New Roman"/>
          <w:sz w:val="28"/>
          <w:szCs w:val="28"/>
        </w:rPr>
        <w:t xml:space="preserve"> Белоярского района, 3 этап реконструкции сетей </w:t>
      </w:r>
      <w:proofErr w:type="spellStart"/>
      <w:r>
        <w:rPr>
          <w:rFonts w:ascii="Times New Roman" w:hAnsi="Times New Roman" w:cs="Times New Roman"/>
          <w:sz w:val="28"/>
          <w:szCs w:val="28"/>
        </w:rPr>
        <w:t>тепловодоснабжениямикрорайона</w:t>
      </w:r>
      <w:proofErr w:type="spellEnd"/>
      <w:r>
        <w:rPr>
          <w:rFonts w:ascii="Times New Roman" w:hAnsi="Times New Roman" w:cs="Times New Roman"/>
          <w:sz w:val="28"/>
          <w:szCs w:val="28"/>
        </w:rPr>
        <w:t xml:space="preserve"> №3, </w:t>
      </w:r>
      <w:r>
        <w:rPr>
          <w:rFonts w:ascii="Times New Roman" w:hAnsi="Times New Roman" w:cs="Times New Roman"/>
          <w:sz w:val="28"/>
          <w:szCs w:val="28"/>
        </w:rPr>
        <w:lastRenderedPageBreak/>
        <w:t xml:space="preserve">блочная газовая котельная в районе СУ-926, канализационная насосная станция №4 по </w:t>
      </w:r>
      <w:proofErr w:type="spellStart"/>
      <w:r>
        <w:rPr>
          <w:rFonts w:ascii="Times New Roman" w:hAnsi="Times New Roman" w:cs="Times New Roman"/>
          <w:sz w:val="28"/>
          <w:szCs w:val="28"/>
        </w:rPr>
        <w:t>ул.Набережная</w:t>
      </w:r>
      <w:proofErr w:type="spellEnd"/>
      <w:r>
        <w:rPr>
          <w:rFonts w:ascii="Times New Roman" w:hAnsi="Times New Roman" w:cs="Times New Roman"/>
          <w:sz w:val="28"/>
          <w:szCs w:val="28"/>
        </w:rPr>
        <w:t xml:space="preserve"> (все -  г. Белоярский), канализационные очистные сооружения в </w:t>
      </w:r>
      <w:proofErr w:type="spellStart"/>
      <w:r>
        <w:rPr>
          <w:rFonts w:ascii="Times New Roman" w:hAnsi="Times New Roman" w:cs="Times New Roman"/>
          <w:sz w:val="28"/>
          <w:szCs w:val="28"/>
        </w:rPr>
        <w:t>с.Покур</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с.ЛарьякНижневартовского</w:t>
      </w:r>
      <w:proofErr w:type="spellEnd"/>
      <w:r>
        <w:rPr>
          <w:rFonts w:ascii="Times New Roman" w:hAnsi="Times New Roman" w:cs="Times New Roman"/>
          <w:sz w:val="28"/>
          <w:szCs w:val="28"/>
        </w:rPr>
        <w:t xml:space="preserve"> района, </w:t>
      </w:r>
      <w:proofErr w:type="spellStart"/>
      <w:r w:rsidRPr="00317731">
        <w:rPr>
          <w:rFonts w:ascii="Times New Roman" w:hAnsi="Times New Roman" w:cs="Times New Roman"/>
          <w:sz w:val="28"/>
          <w:szCs w:val="28"/>
        </w:rPr>
        <w:t>газификация</w:t>
      </w:r>
      <w:r>
        <w:rPr>
          <w:rFonts w:ascii="Times New Roman" w:hAnsi="Times New Roman" w:cs="Times New Roman"/>
          <w:sz w:val="28"/>
          <w:szCs w:val="28"/>
        </w:rPr>
        <w:t>п.Уньюган</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д.Чемаши</w:t>
      </w:r>
      <w:proofErr w:type="spellEnd"/>
      <w:r>
        <w:rPr>
          <w:rFonts w:ascii="Times New Roman" w:hAnsi="Times New Roman" w:cs="Times New Roman"/>
          <w:sz w:val="28"/>
          <w:szCs w:val="28"/>
        </w:rPr>
        <w:t xml:space="preserve"> Октябрьского района, </w:t>
      </w:r>
      <w:proofErr w:type="spellStart"/>
      <w:r>
        <w:rPr>
          <w:rFonts w:ascii="Times New Roman" w:hAnsi="Times New Roman" w:cs="Times New Roman"/>
          <w:sz w:val="28"/>
          <w:szCs w:val="28"/>
        </w:rPr>
        <w:t>п.Кирпичный</w:t>
      </w:r>
      <w:proofErr w:type="spellEnd"/>
      <w:r>
        <w:rPr>
          <w:rFonts w:ascii="Times New Roman" w:hAnsi="Times New Roman" w:cs="Times New Roman"/>
          <w:sz w:val="28"/>
          <w:szCs w:val="28"/>
        </w:rPr>
        <w:t xml:space="preserve"> Ханты-Мансийского района, строительство </w:t>
      </w:r>
      <w:proofErr w:type="spellStart"/>
      <w:r>
        <w:rPr>
          <w:rFonts w:ascii="Times New Roman" w:hAnsi="Times New Roman" w:cs="Times New Roman"/>
          <w:sz w:val="28"/>
          <w:szCs w:val="28"/>
        </w:rPr>
        <w:t>блочно</w:t>
      </w:r>
      <w:proofErr w:type="spellEnd"/>
      <w:r>
        <w:rPr>
          <w:rFonts w:ascii="Times New Roman" w:hAnsi="Times New Roman" w:cs="Times New Roman"/>
          <w:sz w:val="28"/>
          <w:szCs w:val="28"/>
        </w:rPr>
        <w:t xml:space="preserve">-модульной котельной </w:t>
      </w:r>
      <w:proofErr w:type="spellStart"/>
      <w:r>
        <w:rPr>
          <w:rFonts w:ascii="Times New Roman" w:hAnsi="Times New Roman" w:cs="Times New Roman"/>
          <w:sz w:val="28"/>
          <w:szCs w:val="28"/>
        </w:rPr>
        <w:t>с.НялинскоеХанты</w:t>
      </w:r>
      <w:proofErr w:type="spellEnd"/>
      <w:r>
        <w:rPr>
          <w:rFonts w:ascii="Times New Roman" w:hAnsi="Times New Roman" w:cs="Times New Roman"/>
          <w:sz w:val="28"/>
          <w:szCs w:val="28"/>
        </w:rPr>
        <w:t xml:space="preserve">-Мансийского района, а также разработана </w:t>
      </w:r>
      <w:r w:rsidRPr="00317731">
        <w:rPr>
          <w:rFonts w:ascii="Times New Roman" w:hAnsi="Times New Roman" w:cs="Times New Roman"/>
          <w:sz w:val="28"/>
          <w:szCs w:val="28"/>
        </w:rPr>
        <w:t>проектно-сметн</w:t>
      </w:r>
      <w:r>
        <w:rPr>
          <w:rFonts w:ascii="Times New Roman" w:hAnsi="Times New Roman" w:cs="Times New Roman"/>
          <w:sz w:val="28"/>
          <w:szCs w:val="28"/>
        </w:rPr>
        <w:t>ая</w:t>
      </w:r>
      <w:r w:rsidRPr="00317731">
        <w:rPr>
          <w:rFonts w:ascii="Times New Roman" w:hAnsi="Times New Roman" w:cs="Times New Roman"/>
          <w:sz w:val="28"/>
          <w:szCs w:val="28"/>
        </w:rPr>
        <w:t xml:space="preserve"> документаци</w:t>
      </w:r>
      <w:r>
        <w:rPr>
          <w:rFonts w:ascii="Times New Roman" w:hAnsi="Times New Roman" w:cs="Times New Roman"/>
          <w:sz w:val="28"/>
          <w:szCs w:val="28"/>
        </w:rPr>
        <w:t xml:space="preserve">я по установке водоочистных сооружений в </w:t>
      </w:r>
      <w:proofErr w:type="spellStart"/>
      <w:r>
        <w:rPr>
          <w:rFonts w:ascii="Times New Roman" w:hAnsi="Times New Roman" w:cs="Times New Roman"/>
          <w:sz w:val="28"/>
          <w:szCs w:val="28"/>
        </w:rPr>
        <w:t>с.Няксимволь</w:t>
      </w:r>
      <w:proofErr w:type="spellEnd"/>
      <w:r>
        <w:rPr>
          <w:rFonts w:ascii="Times New Roman" w:hAnsi="Times New Roman" w:cs="Times New Roman"/>
          <w:sz w:val="28"/>
          <w:szCs w:val="28"/>
        </w:rPr>
        <w:t xml:space="preserve"> Березовского района</w:t>
      </w:r>
      <w:r w:rsidRPr="00317731">
        <w:rPr>
          <w:rFonts w:ascii="Times New Roman" w:hAnsi="Times New Roman" w:cs="Times New Roman"/>
          <w:sz w:val="28"/>
          <w:szCs w:val="28"/>
        </w:rPr>
        <w:t xml:space="preserve">. В 2015 году планируется ввести в эксплуатацию </w:t>
      </w:r>
      <w:r>
        <w:rPr>
          <w:rFonts w:ascii="Times New Roman" w:hAnsi="Times New Roman" w:cs="Times New Roman"/>
          <w:sz w:val="28"/>
          <w:szCs w:val="28"/>
        </w:rPr>
        <w:t>11</w:t>
      </w:r>
      <w:r w:rsidRPr="00317731">
        <w:rPr>
          <w:rFonts w:ascii="Times New Roman" w:hAnsi="Times New Roman" w:cs="Times New Roman"/>
          <w:sz w:val="28"/>
          <w:szCs w:val="28"/>
        </w:rPr>
        <w:t xml:space="preserve"> объектов (водоочистные сооружения в Нефтеюганске, </w:t>
      </w:r>
      <w:proofErr w:type="spellStart"/>
      <w:r w:rsidRPr="00317731">
        <w:rPr>
          <w:rFonts w:ascii="Times New Roman" w:hAnsi="Times New Roman" w:cs="Times New Roman"/>
          <w:sz w:val="28"/>
          <w:szCs w:val="28"/>
        </w:rPr>
        <w:t>Пыть-Яхе</w:t>
      </w:r>
      <w:proofErr w:type="spellEnd"/>
      <w:r w:rsidRPr="00317731">
        <w:rPr>
          <w:rFonts w:ascii="Times New Roman" w:hAnsi="Times New Roman" w:cs="Times New Roman"/>
          <w:sz w:val="28"/>
          <w:szCs w:val="28"/>
        </w:rPr>
        <w:t xml:space="preserve">, </w:t>
      </w:r>
      <w:proofErr w:type="spellStart"/>
      <w:r w:rsidRPr="00317731">
        <w:rPr>
          <w:rFonts w:ascii="Times New Roman" w:hAnsi="Times New Roman" w:cs="Times New Roman"/>
          <w:sz w:val="28"/>
          <w:szCs w:val="28"/>
        </w:rPr>
        <w:t>пгт.МеждуреченскийКондинского</w:t>
      </w:r>
      <w:proofErr w:type="spellEnd"/>
      <w:r w:rsidRPr="00317731">
        <w:rPr>
          <w:rFonts w:ascii="Times New Roman" w:hAnsi="Times New Roman" w:cs="Times New Roman"/>
          <w:sz w:val="28"/>
          <w:szCs w:val="28"/>
        </w:rPr>
        <w:t xml:space="preserve"> района, </w:t>
      </w:r>
      <w:proofErr w:type="spellStart"/>
      <w:r w:rsidRPr="00317731">
        <w:rPr>
          <w:rFonts w:ascii="Times New Roman" w:hAnsi="Times New Roman" w:cs="Times New Roman"/>
          <w:sz w:val="28"/>
          <w:szCs w:val="28"/>
        </w:rPr>
        <w:t>с.Няксимволь</w:t>
      </w:r>
      <w:proofErr w:type="spellEnd"/>
      <w:r w:rsidRPr="00317731">
        <w:rPr>
          <w:rFonts w:ascii="Times New Roman" w:hAnsi="Times New Roman" w:cs="Times New Roman"/>
          <w:sz w:val="28"/>
          <w:szCs w:val="28"/>
        </w:rPr>
        <w:t xml:space="preserve"> Березовского района, канализационно-очистные сооружения в Нефтеюганске, </w:t>
      </w:r>
      <w:proofErr w:type="spellStart"/>
      <w:r w:rsidRPr="00317731">
        <w:rPr>
          <w:rFonts w:ascii="Times New Roman" w:hAnsi="Times New Roman" w:cs="Times New Roman"/>
          <w:sz w:val="28"/>
          <w:szCs w:val="28"/>
        </w:rPr>
        <w:t>Югорске</w:t>
      </w:r>
      <w:proofErr w:type="spellEnd"/>
      <w:r w:rsidRPr="00317731">
        <w:rPr>
          <w:rFonts w:ascii="Times New Roman" w:hAnsi="Times New Roman" w:cs="Times New Roman"/>
          <w:sz w:val="28"/>
          <w:szCs w:val="28"/>
        </w:rPr>
        <w:t xml:space="preserve">, </w:t>
      </w:r>
      <w:proofErr w:type="spellStart"/>
      <w:r w:rsidRPr="00317731">
        <w:rPr>
          <w:rFonts w:ascii="Times New Roman" w:hAnsi="Times New Roman" w:cs="Times New Roman"/>
          <w:sz w:val="28"/>
          <w:szCs w:val="28"/>
        </w:rPr>
        <w:t>п.ПокурНижневартовского</w:t>
      </w:r>
      <w:proofErr w:type="spellEnd"/>
      <w:r w:rsidRPr="00317731">
        <w:rPr>
          <w:rFonts w:ascii="Times New Roman" w:hAnsi="Times New Roman" w:cs="Times New Roman"/>
          <w:sz w:val="28"/>
          <w:szCs w:val="28"/>
        </w:rPr>
        <w:t xml:space="preserve"> района, реконструкция 4-х канализационно-насосных станций в </w:t>
      </w:r>
      <w:proofErr w:type="spellStart"/>
      <w:r w:rsidRPr="00317731">
        <w:rPr>
          <w:rFonts w:ascii="Times New Roman" w:hAnsi="Times New Roman" w:cs="Times New Roman"/>
          <w:sz w:val="28"/>
          <w:szCs w:val="28"/>
        </w:rPr>
        <w:t>пгт.Высокий</w:t>
      </w:r>
      <w:proofErr w:type="spellEnd"/>
      <w:r w:rsidRPr="00317731">
        <w:rPr>
          <w:rFonts w:ascii="Times New Roman" w:hAnsi="Times New Roman" w:cs="Times New Roman"/>
          <w:sz w:val="28"/>
          <w:szCs w:val="28"/>
        </w:rPr>
        <w:t xml:space="preserve">, теплотрасса в Нижневартовске, газификация </w:t>
      </w:r>
      <w:proofErr w:type="spellStart"/>
      <w:r w:rsidRPr="00317731">
        <w:rPr>
          <w:rFonts w:ascii="Times New Roman" w:hAnsi="Times New Roman" w:cs="Times New Roman"/>
          <w:sz w:val="28"/>
          <w:szCs w:val="28"/>
        </w:rPr>
        <w:t>пгт.Зеленоборск</w:t>
      </w:r>
      <w:proofErr w:type="spellEnd"/>
      <w:r w:rsidRPr="00317731">
        <w:rPr>
          <w:rFonts w:ascii="Times New Roman" w:hAnsi="Times New Roman" w:cs="Times New Roman"/>
          <w:sz w:val="28"/>
          <w:szCs w:val="28"/>
        </w:rPr>
        <w:t xml:space="preserve"> Советского района и жилого района Западный </w:t>
      </w:r>
      <w:proofErr w:type="spellStart"/>
      <w:r w:rsidRPr="00317731">
        <w:rPr>
          <w:rFonts w:ascii="Times New Roman" w:hAnsi="Times New Roman" w:cs="Times New Roman"/>
          <w:sz w:val="28"/>
          <w:szCs w:val="28"/>
        </w:rPr>
        <w:t>Нягани</w:t>
      </w:r>
      <w:proofErr w:type="spellEnd"/>
      <w:r w:rsidRPr="00317731">
        <w:rPr>
          <w:rFonts w:ascii="Times New Roman" w:hAnsi="Times New Roman" w:cs="Times New Roman"/>
          <w:sz w:val="28"/>
          <w:szCs w:val="28"/>
        </w:rPr>
        <w:t xml:space="preserve">), а также разработать проектно-сметную документацию по газификации </w:t>
      </w:r>
      <w:proofErr w:type="spellStart"/>
      <w:r w:rsidRPr="00317731">
        <w:rPr>
          <w:rFonts w:ascii="Times New Roman" w:hAnsi="Times New Roman" w:cs="Times New Roman"/>
          <w:sz w:val="28"/>
          <w:szCs w:val="28"/>
        </w:rPr>
        <w:t>пгт.Высокий</w:t>
      </w:r>
      <w:proofErr w:type="spellEnd"/>
      <w:r w:rsidRPr="00317731">
        <w:rPr>
          <w:rFonts w:ascii="Times New Roman" w:hAnsi="Times New Roman" w:cs="Times New Roman"/>
          <w:sz w:val="28"/>
          <w:szCs w:val="28"/>
        </w:rPr>
        <w:t xml:space="preserve"> и  канализационно-очистным сооружениям в </w:t>
      </w:r>
      <w:proofErr w:type="spellStart"/>
      <w:r w:rsidRPr="00317731">
        <w:rPr>
          <w:rFonts w:ascii="Times New Roman" w:hAnsi="Times New Roman" w:cs="Times New Roman"/>
          <w:sz w:val="28"/>
          <w:szCs w:val="28"/>
        </w:rPr>
        <w:t>Урай</w:t>
      </w:r>
      <w:proofErr w:type="spellEnd"/>
      <w:r w:rsidRPr="00317731">
        <w:rPr>
          <w:rFonts w:ascii="Times New Roman" w:hAnsi="Times New Roman" w:cs="Times New Roman"/>
          <w:sz w:val="28"/>
          <w:szCs w:val="28"/>
        </w:rPr>
        <w:t>.</w:t>
      </w:r>
    </w:p>
    <w:p w:rsidR="0020309F" w:rsidRPr="00317731" w:rsidRDefault="0020309F" w:rsidP="0020309F">
      <w:pPr>
        <w:widowControl w:val="0"/>
        <w:autoSpaceDE w:val="0"/>
        <w:autoSpaceDN w:val="0"/>
        <w:adjustRightInd w:val="0"/>
        <w:spacing w:after="0"/>
        <w:ind w:firstLine="540"/>
        <w:jc w:val="both"/>
        <w:rPr>
          <w:rFonts w:ascii="Times New Roman" w:hAnsi="Times New Roman" w:cs="Times New Roman"/>
          <w:sz w:val="28"/>
          <w:szCs w:val="28"/>
        </w:rPr>
      </w:pPr>
      <w:r w:rsidRPr="00317731">
        <w:rPr>
          <w:rFonts w:ascii="Times New Roman" w:hAnsi="Times New Roman" w:cs="Times New Roman"/>
          <w:sz w:val="28"/>
          <w:szCs w:val="28"/>
        </w:rPr>
        <w:t>Ед.</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2"/>
        <w:gridCol w:w="1522"/>
        <w:gridCol w:w="1522"/>
        <w:gridCol w:w="1522"/>
        <w:gridCol w:w="1522"/>
        <w:gridCol w:w="1665"/>
      </w:tblGrid>
      <w:tr w:rsidR="0020309F" w:rsidRPr="001602B1" w:rsidTr="00E80C8C">
        <w:trPr>
          <w:trHeight w:val="413"/>
        </w:trPr>
        <w:tc>
          <w:tcPr>
            <w:tcW w:w="1522"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2010</w:t>
            </w:r>
          </w:p>
        </w:tc>
        <w:tc>
          <w:tcPr>
            <w:tcW w:w="1522"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2011</w:t>
            </w:r>
          </w:p>
        </w:tc>
        <w:tc>
          <w:tcPr>
            <w:tcW w:w="1522"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2012</w:t>
            </w:r>
          </w:p>
        </w:tc>
        <w:tc>
          <w:tcPr>
            <w:tcW w:w="1522"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2013</w:t>
            </w:r>
          </w:p>
        </w:tc>
        <w:tc>
          <w:tcPr>
            <w:tcW w:w="1522"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2014</w:t>
            </w:r>
          </w:p>
        </w:tc>
        <w:tc>
          <w:tcPr>
            <w:tcW w:w="1665"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2015*</w:t>
            </w:r>
          </w:p>
        </w:tc>
      </w:tr>
      <w:tr w:rsidR="0020309F" w:rsidRPr="001602B1" w:rsidTr="00E80C8C">
        <w:trPr>
          <w:trHeight w:val="413"/>
        </w:trPr>
        <w:tc>
          <w:tcPr>
            <w:tcW w:w="1522"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5</w:t>
            </w:r>
          </w:p>
        </w:tc>
        <w:tc>
          <w:tcPr>
            <w:tcW w:w="1522"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6</w:t>
            </w:r>
          </w:p>
        </w:tc>
        <w:tc>
          <w:tcPr>
            <w:tcW w:w="1522"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11</w:t>
            </w:r>
          </w:p>
        </w:tc>
        <w:tc>
          <w:tcPr>
            <w:tcW w:w="1522"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20</w:t>
            </w:r>
          </w:p>
        </w:tc>
        <w:tc>
          <w:tcPr>
            <w:tcW w:w="1522"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13</w:t>
            </w:r>
          </w:p>
        </w:tc>
        <w:tc>
          <w:tcPr>
            <w:tcW w:w="1665"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1</w:t>
            </w:r>
            <w:r>
              <w:rPr>
                <w:rFonts w:ascii="Times New Roman" w:hAnsi="Times New Roman" w:cs="Times New Roman"/>
                <w:sz w:val="28"/>
                <w:szCs w:val="28"/>
              </w:rPr>
              <w:t>1</w:t>
            </w:r>
          </w:p>
        </w:tc>
      </w:tr>
    </w:tbl>
    <w:p w:rsidR="0020309F" w:rsidRPr="00317731" w:rsidRDefault="0020309F" w:rsidP="0020309F">
      <w:pPr>
        <w:widowControl w:val="0"/>
        <w:autoSpaceDE w:val="0"/>
        <w:autoSpaceDN w:val="0"/>
        <w:adjustRightInd w:val="0"/>
        <w:spacing w:after="0"/>
        <w:ind w:firstLine="708"/>
        <w:jc w:val="both"/>
        <w:rPr>
          <w:rFonts w:ascii="Times New Roman" w:hAnsi="Times New Roman" w:cs="Times New Roman"/>
          <w:sz w:val="28"/>
          <w:szCs w:val="28"/>
        </w:rPr>
      </w:pPr>
      <w:r w:rsidRPr="00317731">
        <w:rPr>
          <w:rFonts w:ascii="Times New Roman" w:hAnsi="Times New Roman" w:cs="Times New Roman"/>
          <w:sz w:val="28"/>
          <w:szCs w:val="28"/>
        </w:rPr>
        <w:t>* - оценка</w:t>
      </w:r>
    </w:p>
    <w:p w:rsidR="0020309F" w:rsidRPr="00317731" w:rsidRDefault="0020309F" w:rsidP="0020309F">
      <w:pPr>
        <w:widowControl w:val="0"/>
        <w:autoSpaceDE w:val="0"/>
        <w:autoSpaceDN w:val="0"/>
        <w:adjustRightInd w:val="0"/>
        <w:spacing w:after="0"/>
        <w:ind w:firstLine="708"/>
        <w:jc w:val="both"/>
        <w:rPr>
          <w:rFonts w:ascii="Times New Roman" w:hAnsi="Times New Roman" w:cs="Times New Roman"/>
          <w:sz w:val="28"/>
          <w:szCs w:val="28"/>
        </w:rPr>
      </w:pPr>
    </w:p>
    <w:p w:rsidR="0020309F" w:rsidRPr="00317731" w:rsidRDefault="0020309F" w:rsidP="0020309F">
      <w:pPr>
        <w:widowControl w:val="0"/>
        <w:autoSpaceDE w:val="0"/>
        <w:autoSpaceDN w:val="0"/>
        <w:adjustRightInd w:val="0"/>
        <w:spacing w:after="0"/>
        <w:ind w:hanging="567"/>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6362700" cy="2038350"/>
            <wp:effectExtent l="0" t="0" r="0" b="0"/>
            <wp:docPr id="8" name="Рисунок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5"/>
                    <pic:cNvPicPr>
                      <a:picLocks noChangeArrowheads="1"/>
                    </pic:cNvPicPr>
                  </pic:nvPicPr>
                  <pic:blipFill>
                    <a:blip r:embed="rId8">
                      <a:extLst>
                        <a:ext uri="{28A0092B-C50C-407E-A947-70E740481C1C}">
                          <a14:useLocalDpi xmlns:a14="http://schemas.microsoft.com/office/drawing/2010/main" val="0"/>
                        </a:ext>
                      </a:extLst>
                    </a:blip>
                    <a:srcRect l="-2943" t="-10344" r="-7527" b="-5968"/>
                    <a:stretch>
                      <a:fillRect/>
                    </a:stretch>
                  </pic:blipFill>
                  <pic:spPr bwMode="auto">
                    <a:xfrm>
                      <a:off x="0" y="0"/>
                      <a:ext cx="6362700" cy="2038350"/>
                    </a:xfrm>
                    <a:prstGeom prst="rect">
                      <a:avLst/>
                    </a:prstGeom>
                    <a:noFill/>
                    <a:ln>
                      <a:noFill/>
                    </a:ln>
                  </pic:spPr>
                </pic:pic>
              </a:graphicData>
            </a:graphic>
          </wp:inline>
        </w:drawing>
      </w:r>
    </w:p>
    <w:p w:rsidR="0020309F" w:rsidRDefault="0020309F" w:rsidP="0020309F">
      <w:pPr>
        <w:widowControl w:val="0"/>
        <w:autoSpaceDE w:val="0"/>
        <w:autoSpaceDN w:val="0"/>
        <w:adjustRightInd w:val="0"/>
        <w:spacing w:after="0"/>
        <w:ind w:firstLine="708"/>
        <w:jc w:val="both"/>
        <w:rPr>
          <w:rFonts w:ascii="Times New Roman" w:hAnsi="Times New Roman" w:cs="Times New Roman"/>
          <w:sz w:val="28"/>
          <w:szCs w:val="28"/>
        </w:rPr>
      </w:pPr>
      <w:r w:rsidRPr="00317731">
        <w:rPr>
          <w:rFonts w:ascii="Times New Roman" w:hAnsi="Times New Roman" w:cs="Times New Roman"/>
          <w:sz w:val="28"/>
          <w:szCs w:val="28"/>
        </w:rPr>
        <w:t>По состоянию на 1 января 20</w:t>
      </w:r>
      <w:r>
        <w:rPr>
          <w:rFonts w:ascii="Times New Roman" w:hAnsi="Times New Roman" w:cs="Times New Roman"/>
          <w:sz w:val="28"/>
          <w:szCs w:val="28"/>
        </w:rPr>
        <w:t>10</w:t>
      </w:r>
      <w:r w:rsidRPr="00317731">
        <w:rPr>
          <w:rFonts w:ascii="Times New Roman" w:hAnsi="Times New Roman" w:cs="Times New Roman"/>
          <w:sz w:val="28"/>
          <w:szCs w:val="28"/>
        </w:rPr>
        <w:t xml:space="preserve"> года на территории автономного округа было </w:t>
      </w:r>
      <w:r>
        <w:rPr>
          <w:rFonts w:ascii="Times New Roman" w:hAnsi="Times New Roman" w:cs="Times New Roman"/>
          <w:sz w:val="28"/>
          <w:szCs w:val="28"/>
        </w:rPr>
        <w:t>11</w:t>
      </w:r>
      <w:r w:rsidRPr="00317731">
        <w:rPr>
          <w:rFonts w:ascii="Times New Roman" w:hAnsi="Times New Roman" w:cs="Times New Roman"/>
          <w:sz w:val="28"/>
          <w:szCs w:val="28"/>
        </w:rPr>
        <w:t xml:space="preserve"> незавершенных строительством коммунальных </w:t>
      </w:r>
      <w:proofErr w:type="gramStart"/>
      <w:r w:rsidRPr="00317731">
        <w:rPr>
          <w:rFonts w:ascii="Times New Roman" w:hAnsi="Times New Roman" w:cs="Times New Roman"/>
          <w:sz w:val="28"/>
          <w:szCs w:val="28"/>
        </w:rPr>
        <w:t>объектов</w:t>
      </w:r>
      <w:r>
        <w:rPr>
          <w:rFonts w:ascii="Times New Roman" w:hAnsi="Times New Roman" w:cs="Times New Roman"/>
          <w:sz w:val="28"/>
          <w:szCs w:val="28"/>
        </w:rPr>
        <w:t xml:space="preserve">  (</w:t>
      </w:r>
      <w:proofErr w:type="gramEnd"/>
      <w:r>
        <w:rPr>
          <w:rFonts w:ascii="Times New Roman" w:hAnsi="Times New Roman" w:cs="Times New Roman"/>
          <w:sz w:val="28"/>
          <w:szCs w:val="28"/>
        </w:rPr>
        <w:t>долгострои</w:t>
      </w:r>
      <w:r w:rsidRPr="00317731">
        <w:rPr>
          <w:rFonts w:ascii="Times New Roman" w:hAnsi="Times New Roman" w:cs="Times New Roman"/>
          <w:sz w:val="28"/>
          <w:szCs w:val="28"/>
        </w:rPr>
        <w:t xml:space="preserve">. На </w:t>
      </w:r>
      <w:proofErr w:type="gramStart"/>
      <w:r w:rsidRPr="00317731">
        <w:rPr>
          <w:rFonts w:ascii="Times New Roman" w:hAnsi="Times New Roman" w:cs="Times New Roman"/>
          <w:sz w:val="28"/>
          <w:szCs w:val="28"/>
        </w:rPr>
        <w:t>начало  2015</w:t>
      </w:r>
      <w:proofErr w:type="gramEnd"/>
      <w:r w:rsidRPr="00317731">
        <w:rPr>
          <w:rFonts w:ascii="Times New Roman" w:hAnsi="Times New Roman" w:cs="Times New Roman"/>
          <w:sz w:val="28"/>
          <w:szCs w:val="28"/>
        </w:rPr>
        <w:t xml:space="preserve"> года остаётся один долгострой, который планируется ввести в эксплуатацию в текущем году (канализационно-очистные сооружения в </w:t>
      </w:r>
      <w:proofErr w:type="spellStart"/>
      <w:r w:rsidRPr="00317731">
        <w:rPr>
          <w:rFonts w:ascii="Times New Roman" w:hAnsi="Times New Roman" w:cs="Times New Roman"/>
          <w:sz w:val="28"/>
          <w:szCs w:val="28"/>
        </w:rPr>
        <w:t>г.Югорске</w:t>
      </w:r>
      <w:proofErr w:type="spellEnd"/>
      <w:r w:rsidRPr="00317731">
        <w:rPr>
          <w:rFonts w:ascii="Times New Roman" w:hAnsi="Times New Roman" w:cs="Times New Roman"/>
          <w:sz w:val="28"/>
          <w:szCs w:val="28"/>
        </w:rPr>
        <w:t>).</w:t>
      </w:r>
    </w:p>
    <w:p w:rsidR="0020309F" w:rsidRDefault="0020309F" w:rsidP="0020309F">
      <w:pPr>
        <w:widowControl w:val="0"/>
        <w:autoSpaceDE w:val="0"/>
        <w:autoSpaceDN w:val="0"/>
        <w:adjustRightInd w:val="0"/>
        <w:spacing w:after="0"/>
        <w:ind w:firstLine="708"/>
        <w:jc w:val="both"/>
        <w:rPr>
          <w:rFonts w:ascii="Times New Roman" w:hAnsi="Times New Roman" w:cs="Times New Roman"/>
          <w:sz w:val="28"/>
          <w:szCs w:val="28"/>
        </w:rPr>
      </w:pPr>
    </w:p>
    <w:p w:rsidR="0020309F" w:rsidRPr="00317731" w:rsidRDefault="0020309F" w:rsidP="0020309F">
      <w:pPr>
        <w:widowControl w:val="0"/>
        <w:autoSpaceDE w:val="0"/>
        <w:autoSpaceDN w:val="0"/>
        <w:adjustRightInd w:val="0"/>
        <w:spacing w:after="0"/>
        <w:ind w:firstLine="708"/>
        <w:jc w:val="both"/>
        <w:rPr>
          <w:rFonts w:ascii="Times New Roman" w:hAnsi="Times New Roman" w:cs="Times New Roman"/>
          <w:sz w:val="28"/>
          <w:szCs w:val="28"/>
        </w:rPr>
      </w:pPr>
    </w:p>
    <w:p w:rsidR="0020309F" w:rsidRPr="00317731" w:rsidRDefault="0020309F" w:rsidP="0020309F">
      <w:pPr>
        <w:widowControl w:val="0"/>
        <w:autoSpaceDE w:val="0"/>
        <w:autoSpaceDN w:val="0"/>
        <w:adjustRightInd w:val="0"/>
        <w:spacing w:after="0"/>
        <w:ind w:firstLine="540"/>
        <w:jc w:val="both"/>
        <w:rPr>
          <w:rFonts w:ascii="Times New Roman" w:hAnsi="Times New Roman" w:cs="Times New Roman"/>
          <w:sz w:val="28"/>
          <w:szCs w:val="28"/>
        </w:rPr>
      </w:pPr>
      <w:r w:rsidRPr="00317731">
        <w:rPr>
          <w:rFonts w:ascii="Times New Roman" w:hAnsi="Times New Roman" w:cs="Times New Roman"/>
          <w:sz w:val="28"/>
          <w:szCs w:val="28"/>
        </w:rPr>
        <w:t>Ед.</w:t>
      </w:r>
    </w:p>
    <w:tbl>
      <w:tblPr>
        <w:tblW w:w="933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2"/>
        <w:gridCol w:w="1532"/>
        <w:gridCol w:w="1532"/>
        <w:gridCol w:w="1532"/>
        <w:gridCol w:w="1532"/>
        <w:gridCol w:w="1677"/>
      </w:tblGrid>
      <w:tr w:rsidR="0020309F" w:rsidRPr="001602B1" w:rsidTr="00E80C8C">
        <w:trPr>
          <w:trHeight w:val="408"/>
        </w:trPr>
        <w:tc>
          <w:tcPr>
            <w:tcW w:w="1532"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2010</w:t>
            </w:r>
          </w:p>
        </w:tc>
        <w:tc>
          <w:tcPr>
            <w:tcW w:w="1532"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2011</w:t>
            </w:r>
          </w:p>
        </w:tc>
        <w:tc>
          <w:tcPr>
            <w:tcW w:w="1532"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2012</w:t>
            </w:r>
          </w:p>
        </w:tc>
        <w:tc>
          <w:tcPr>
            <w:tcW w:w="1532"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2013</w:t>
            </w:r>
          </w:p>
        </w:tc>
        <w:tc>
          <w:tcPr>
            <w:tcW w:w="1532"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2014</w:t>
            </w:r>
          </w:p>
        </w:tc>
        <w:tc>
          <w:tcPr>
            <w:tcW w:w="1677"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2015*</w:t>
            </w:r>
          </w:p>
        </w:tc>
      </w:tr>
      <w:tr w:rsidR="0020309F" w:rsidRPr="001602B1" w:rsidTr="00E80C8C">
        <w:trPr>
          <w:trHeight w:val="408"/>
        </w:trPr>
        <w:tc>
          <w:tcPr>
            <w:tcW w:w="1532"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11</w:t>
            </w:r>
          </w:p>
        </w:tc>
        <w:tc>
          <w:tcPr>
            <w:tcW w:w="1532"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9</w:t>
            </w:r>
          </w:p>
        </w:tc>
        <w:tc>
          <w:tcPr>
            <w:tcW w:w="1532"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8</w:t>
            </w:r>
          </w:p>
        </w:tc>
        <w:tc>
          <w:tcPr>
            <w:tcW w:w="1532"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4</w:t>
            </w:r>
          </w:p>
        </w:tc>
        <w:tc>
          <w:tcPr>
            <w:tcW w:w="1532"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2</w:t>
            </w:r>
          </w:p>
        </w:tc>
        <w:tc>
          <w:tcPr>
            <w:tcW w:w="1677"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8"/>
                <w:szCs w:val="28"/>
              </w:rPr>
            </w:pPr>
            <w:r w:rsidRPr="00317731">
              <w:rPr>
                <w:rFonts w:ascii="Times New Roman" w:hAnsi="Times New Roman" w:cs="Times New Roman"/>
                <w:sz w:val="28"/>
                <w:szCs w:val="28"/>
              </w:rPr>
              <w:t>1</w:t>
            </w:r>
          </w:p>
        </w:tc>
      </w:tr>
    </w:tbl>
    <w:p w:rsidR="0020309F" w:rsidRPr="00317731" w:rsidRDefault="0020309F" w:rsidP="0020309F">
      <w:pPr>
        <w:widowControl w:val="0"/>
        <w:autoSpaceDE w:val="0"/>
        <w:autoSpaceDN w:val="0"/>
        <w:adjustRightInd w:val="0"/>
        <w:spacing w:after="0"/>
        <w:ind w:firstLine="708"/>
        <w:jc w:val="both"/>
        <w:rPr>
          <w:rFonts w:ascii="Times New Roman" w:hAnsi="Times New Roman" w:cs="Times New Roman"/>
          <w:sz w:val="28"/>
          <w:szCs w:val="28"/>
        </w:rPr>
      </w:pPr>
      <w:r w:rsidRPr="00317731">
        <w:rPr>
          <w:rFonts w:ascii="Times New Roman" w:hAnsi="Times New Roman" w:cs="Times New Roman"/>
          <w:sz w:val="28"/>
          <w:szCs w:val="28"/>
        </w:rPr>
        <w:lastRenderedPageBreak/>
        <w:t>* - оценка</w:t>
      </w:r>
    </w:p>
    <w:p w:rsidR="0020309F" w:rsidRPr="00317731" w:rsidRDefault="0020309F" w:rsidP="0020309F">
      <w:pPr>
        <w:widowControl w:val="0"/>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5934075" cy="2114550"/>
            <wp:effectExtent l="0" t="0" r="0" b="0"/>
            <wp:docPr id="7" name="Рисунок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4"/>
                    <pic:cNvPicPr>
                      <a:picLocks noChangeArrowheads="1"/>
                    </pic:cNvPicPr>
                  </pic:nvPicPr>
                  <pic:blipFill>
                    <a:blip r:embed="rId9">
                      <a:extLst>
                        <a:ext uri="{28A0092B-C50C-407E-A947-70E740481C1C}">
                          <a14:useLocalDpi xmlns:a14="http://schemas.microsoft.com/office/drawing/2010/main" val="0"/>
                        </a:ext>
                      </a:extLst>
                    </a:blip>
                    <a:srcRect l="-3056" t="-9550" r="-3880" b="-5467"/>
                    <a:stretch>
                      <a:fillRect/>
                    </a:stretch>
                  </pic:blipFill>
                  <pic:spPr bwMode="auto">
                    <a:xfrm>
                      <a:off x="0" y="0"/>
                      <a:ext cx="5934075" cy="2114550"/>
                    </a:xfrm>
                    <a:prstGeom prst="rect">
                      <a:avLst/>
                    </a:prstGeom>
                    <a:noFill/>
                    <a:ln>
                      <a:noFill/>
                    </a:ln>
                  </pic:spPr>
                </pic:pic>
              </a:graphicData>
            </a:graphic>
          </wp:inline>
        </w:drawing>
      </w:r>
    </w:p>
    <w:p w:rsidR="0020309F" w:rsidRPr="00317731" w:rsidRDefault="0020309F" w:rsidP="0020309F">
      <w:pPr>
        <w:widowControl w:val="0"/>
        <w:autoSpaceDE w:val="0"/>
        <w:autoSpaceDN w:val="0"/>
        <w:adjustRightInd w:val="0"/>
        <w:spacing w:after="0"/>
        <w:ind w:firstLine="708"/>
        <w:jc w:val="both"/>
        <w:rPr>
          <w:rFonts w:ascii="Times New Roman" w:hAnsi="Times New Roman" w:cs="Times New Roman"/>
          <w:sz w:val="28"/>
          <w:szCs w:val="28"/>
        </w:rPr>
      </w:pPr>
      <w:r w:rsidRPr="00317731">
        <w:rPr>
          <w:rFonts w:ascii="Times New Roman" w:hAnsi="Times New Roman" w:cs="Times New Roman"/>
          <w:sz w:val="28"/>
          <w:szCs w:val="28"/>
        </w:rPr>
        <w:t xml:space="preserve">Предоставление коммунальных услуг потребителям Ханты-Мансийского автономного округа – Югры является одним из важнейших параметров жизнеобеспечения, определяющим уровень жизни людей. Внедрение современных технологий позволяют осуществлять эффективное и бесперебойное предоставление коммунальных услуг потребителям. Учитывая северные условия автономного округа с частыми проявлениями низких температур наружного воздуха, решению проблем по бесперебойному предоставлению коммунальных услуг отводится большое значение. В 2010-2014 годах было заменено 1 117,2 км ветхих инженерных сетей тепло-, водоснабжения и водоотведения с использованием композитных материалов, что способствует сокращению числа аварий на </w:t>
      </w:r>
      <w:proofErr w:type="spellStart"/>
      <w:r w:rsidRPr="00317731">
        <w:rPr>
          <w:rFonts w:ascii="Times New Roman" w:hAnsi="Times New Roman" w:cs="Times New Roman"/>
          <w:sz w:val="28"/>
          <w:szCs w:val="28"/>
        </w:rPr>
        <w:t>ед</w:t>
      </w:r>
      <w:proofErr w:type="spellEnd"/>
      <w:r w:rsidRPr="00317731">
        <w:rPr>
          <w:rFonts w:ascii="Times New Roman" w:hAnsi="Times New Roman" w:cs="Times New Roman"/>
          <w:sz w:val="28"/>
          <w:szCs w:val="28"/>
        </w:rPr>
        <w:t>/км и увеличению срока службы.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3"/>
        <w:gridCol w:w="1599"/>
        <w:gridCol w:w="2223"/>
        <w:gridCol w:w="2433"/>
        <w:gridCol w:w="1897"/>
      </w:tblGrid>
      <w:tr w:rsidR="0020309F" w:rsidRPr="001602B1" w:rsidTr="00E80C8C">
        <w:trPr>
          <w:jc w:val="center"/>
        </w:trPr>
        <w:tc>
          <w:tcPr>
            <w:tcW w:w="2912" w:type="dxa"/>
            <w:vAlign w:val="center"/>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Годы</w:t>
            </w:r>
          </w:p>
        </w:tc>
        <w:tc>
          <w:tcPr>
            <w:tcW w:w="2912" w:type="dxa"/>
            <w:vAlign w:val="center"/>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Замена ветхих тепловых сетей, км</w:t>
            </w:r>
          </w:p>
        </w:tc>
        <w:tc>
          <w:tcPr>
            <w:tcW w:w="2912" w:type="dxa"/>
            <w:vAlign w:val="center"/>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Замена ветхих водопроводных сетей, км</w:t>
            </w:r>
          </w:p>
        </w:tc>
        <w:tc>
          <w:tcPr>
            <w:tcW w:w="2912" w:type="dxa"/>
            <w:vAlign w:val="center"/>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Замена ветхих канализационных сетей, км</w:t>
            </w:r>
          </w:p>
        </w:tc>
        <w:tc>
          <w:tcPr>
            <w:tcW w:w="2912" w:type="dxa"/>
            <w:vAlign w:val="center"/>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 xml:space="preserve">Сокращение числа аварий, </w:t>
            </w:r>
            <w:proofErr w:type="spellStart"/>
            <w:r w:rsidRPr="00317731">
              <w:rPr>
                <w:rFonts w:ascii="Times New Roman" w:hAnsi="Times New Roman" w:cs="Times New Roman"/>
                <w:sz w:val="28"/>
                <w:szCs w:val="28"/>
              </w:rPr>
              <w:t>ед</w:t>
            </w:r>
            <w:proofErr w:type="spellEnd"/>
            <w:r w:rsidRPr="00317731">
              <w:rPr>
                <w:rFonts w:ascii="Times New Roman" w:hAnsi="Times New Roman" w:cs="Times New Roman"/>
                <w:sz w:val="28"/>
                <w:szCs w:val="28"/>
              </w:rPr>
              <w:t>/км</w:t>
            </w:r>
          </w:p>
        </w:tc>
      </w:tr>
      <w:tr w:rsidR="0020309F" w:rsidRPr="001602B1" w:rsidTr="00E80C8C">
        <w:trPr>
          <w:jc w:val="center"/>
        </w:trPr>
        <w:tc>
          <w:tcPr>
            <w:tcW w:w="2912" w:type="dxa"/>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2005</w:t>
            </w:r>
          </w:p>
        </w:tc>
        <w:tc>
          <w:tcPr>
            <w:tcW w:w="2912" w:type="dxa"/>
            <w:vAlign w:val="center"/>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80,0</w:t>
            </w:r>
          </w:p>
        </w:tc>
        <w:tc>
          <w:tcPr>
            <w:tcW w:w="2912" w:type="dxa"/>
            <w:vAlign w:val="center"/>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58,0</w:t>
            </w:r>
          </w:p>
        </w:tc>
        <w:tc>
          <w:tcPr>
            <w:tcW w:w="2912" w:type="dxa"/>
            <w:vAlign w:val="center"/>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2,1</w:t>
            </w:r>
          </w:p>
        </w:tc>
        <w:tc>
          <w:tcPr>
            <w:tcW w:w="2912" w:type="dxa"/>
            <w:vAlign w:val="center"/>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1,65</w:t>
            </w:r>
          </w:p>
        </w:tc>
      </w:tr>
      <w:tr w:rsidR="0020309F" w:rsidRPr="001602B1" w:rsidTr="00E80C8C">
        <w:trPr>
          <w:jc w:val="center"/>
        </w:trPr>
        <w:tc>
          <w:tcPr>
            <w:tcW w:w="2912" w:type="dxa"/>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2006</w:t>
            </w:r>
          </w:p>
        </w:tc>
        <w:tc>
          <w:tcPr>
            <w:tcW w:w="2912" w:type="dxa"/>
            <w:vAlign w:val="center"/>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121,0</w:t>
            </w:r>
          </w:p>
        </w:tc>
        <w:tc>
          <w:tcPr>
            <w:tcW w:w="2912" w:type="dxa"/>
            <w:vAlign w:val="center"/>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84,0</w:t>
            </w:r>
          </w:p>
        </w:tc>
        <w:tc>
          <w:tcPr>
            <w:tcW w:w="2912" w:type="dxa"/>
            <w:vAlign w:val="center"/>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3,3</w:t>
            </w:r>
          </w:p>
        </w:tc>
        <w:tc>
          <w:tcPr>
            <w:tcW w:w="2912" w:type="dxa"/>
            <w:vAlign w:val="center"/>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1,64</w:t>
            </w:r>
          </w:p>
        </w:tc>
      </w:tr>
      <w:tr w:rsidR="0020309F" w:rsidRPr="001602B1" w:rsidTr="00E80C8C">
        <w:trPr>
          <w:jc w:val="center"/>
        </w:trPr>
        <w:tc>
          <w:tcPr>
            <w:tcW w:w="2912" w:type="dxa"/>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2007</w:t>
            </w:r>
          </w:p>
        </w:tc>
        <w:tc>
          <w:tcPr>
            <w:tcW w:w="2912" w:type="dxa"/>
            <w:vAlign w:val="center"/>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121,7</w:t>
            </w:r>
          </w:p>
        </w:tc>
        <w:tc>
          <w:tcPr>
            <w:tcW w:w="2912" w:type="dxa"/>
            <w:vAlign w:val="center"/>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81,7</w:t>
            </w:r>
          </w:p>
        </w:tc>
        <w:tc>
          <w:tcPr>
            <w:tcW w:w="2912" w:type="dxa"/>
            <w:vAlign w:val="center"/>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2,4</w:t>
            </w:r>
          </w:p>
        </w:tc>
        <w:tc>
          <w:tcPr>
            <w:tcW w:w="2912" w:type="dxa"/>
            <w:vAlign w:val="center"/>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1,63</w:t>
            </w:r>
          </w:p>
        </w:tc>
      </w:tr>
      <w:tr w:rsidR="0020309F" w:rsidRPr="001602B1" w:rsidTr="00E80C8C">
        <w:trPr>
          <w:jc w:val="center"/>
        </w:trPr>
        <w:tc>
          <w:tcPr>
            <w:tcW w:w="2912" w:type="dxa"/>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2008</w:t>
            </w:r>
          </w:p>
        </w:tc>
        <w:tc>
          <w:tcPr>
            <w:tcW w:w="2912" w:type="dxa"/>
            <w:vAlign w:val="center"/>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105,1</w:t>
            </w:r>
          </w:p>
        </w:tc>
        <w:tc>
          <w:tcPr>
            <w:tcW w:w="2912" w:type="dxa"/>
            <w:vAlign w:val="center"/>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67,0</w:t>
            </w:r>
          </w:p>
        </w:tc>
        <w:tc>
          <w:tcPr>
            <w:tcW w:w="2912" w:type="dxa"/>
            <w:vAlign w:val="center"/>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5,6</w:t>
            </w:r>
          </w:p>
        </w:tc>
        <w:tc>
          <w:tcPr>
            <w:tcW w:w="2912" w:type="dxa"/>
            <w:vAlign w:val="center"/>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1,62</w:t>
            </w:r>
          </w:p>
        </w:tc>
      </w:tr>
      <w:tr w:rsidR="0020309F" w:rsidRPr="001602B1" w:rsidTr="00E80C8C">
        <w:trPr>
          <w:jc w:val="center"/>
        </w:trPr>
        <w:tc>
          <w:tcPr>
            <w:tcW w:w="2912" w:type="dxa"/>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2009</w:t>
            </w:r>
          </w:p>
        </w:tc>
        <w:tc>
          <w:tcPr>
            <w:tcW w:w="2912" w:type="dxa"/>
            <w:vAlign w:val="center"/>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72,6</w:t>
            </w:r>
          </w:p>
        </w:tc>
        <w:tc>
          <w:tcPr>
            <w:tcW w:w="2912" w:type="dxa"/>
            <w:vAlign w:val="center"/>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58,5</w:t>
            </w:r>
          </w:p>
        </w:tc>
        <w:tc>
          <w:tcPr>
            <w:tcW w:w="2912" w:type="dxa"/>
            <w:vAlign w:val="center"/>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3,9</w:t>
            </w:r>
          </w:p>
        </w:tc>
        <w:tc>
          <w:tcPr>
            <w:tcW w:w="2912" w:type="dxa"/>
            <w:vAlign w:val="center"/>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1,6</w:t>
            </w:r>
          </w:p>
        </w:tc>
      </w:tr>
      <w:tr w:rsidR="0020309F" w:rsidRPr="001602B1" w:rsidTr="00E80C8C">
        <w:trPr>
          <w:jc w:val="center"/>
        </w:trPr>
        <w:tc>
          <w:tcPr>
            <w:tcW w:w="2912" w:type="dxa"/>
          </w:tcPr>
          <w:p w:rsidR="0020309F" w:rsidRPr="00317731" w:rsidRDefault="0020309F" w:rsidP="00E80C8C">
            <w:pPr>
              <w:jc w:val="both"/>
              <w:rPr>
                <w:rFonts w:ascii="Times New Roman" w:hAnsi="Times New Roman" w:cs="Times New Roman"/>
                <w:b/>
                <w:bCs/>
                <w:sz w:val="28"/>
                <w:szCs w:val="28"/>
              </w:rPr>
            </w:pPr>
            <w:r w:rsidRPr="00317731">
              <w:rPr>
                <w:rFonts w:ascii="Times New Roman" w:hAnsi="Times New Roman" w:cs="Times New Roman"/>
                <w:b/>
                <w:bCs/>
                <w:sz w:val="28"/>
                <w:szCs w:val="28"/>
              </w:rPr>
              <w:t>2005-2009</w:t>
            </w:r>
          </w:p>
        </w:tc>
        <w:tc>
          <w:tcPr>
            <w:tcW w:w="2912" w:type="dxa"/>
            <w:vAlign w:val="center"/>
          </w:tcPr>
          <w:p w:rsidR="0020309F" w:rsidRPr="00317731" w:rsidRDefault="0020309F" w:rsidP="00E80C8C">
            <w:pPr>
              <w:jc w:val="both"/>
              <w:rPr>
                <w:rFonts w:ascii="Times New Roman" w:hAnsi="Times New Roman" w:cs="Times New Roman"/>
                <w:b/>
                <w:bCs/>
                <w:sz w:val="28"/>
                <w:szCs w:val="28"/>
              </w:rPr>
            </w:pPr>
            <w:r w:rsidRPr="00317731">
              <w:rPr>
                <w:rFonts w:ascii="Times New Roman" w:hAnsi="Times New Roman" w:cs="Times New Roman"/>
                <w:b/>
                <w:bCs/>
                <w:sz w:val="28"/>
                <w:szCs w:val="28"/>
              </w:rPr>
              <w:t>500,4</w:t>
            </w:r>
          </w:p>
        </w:tc>
        <w:tc>
          <w:tcPr>
            <w:tcW w:w="2912" w:type="dxa"/>
            <w:vAlign w:val="center"/>
          </w:tcPr>
          <w:p w:rsidR="0020309F" w:rsidRPr="00317731" w:rsidRDefault="0020309F" w:rsidP="00E80C8C">
            <w:pPr>
              <w:jc w:val="both"/>
              <w:rPr>
                <w:rFonts w:ascii="Times New Roman" w:hAnsi="Times New Roman" w:cs="Times New Roman"/>
                <w:b/>
                <w:bCs/>
                <w:sz w:val="28"/>
                <w:szCs w:val="28"/>
              </w:rPr>
            </w:pPr>
            <w:r w:rsidRPr="00317731">
              <w:rPr>
                <w:rFonts w:ascii="Times New Roman" w:hAnsi="Times New Roman" w:cs="Times New Roman"/>
                <w:b/>
                <w:bCs/>
                <w:sz w:val="28"/>
                <w:szCs w:val="28"/>
              </w:rPr>
              <w:t>349,2</w:t>
            </w:r>
          </w:p>
        </w:tc>
        <w:tc>
          <w:tcPr>
            <w:tcW w:w="2912" w:type="dxa"/>
            <w:vAlign w:val="center"/>
          </w:tcPr>
          <w:p w:rsidR="0020309F" w:rsidRPr="00317731" w:rsidRDefault="0020309F" w:rsidP="00E80C8C">
            <w:pPr>
              <w:jc w:val="both"/>
              <w:rPr>
                <w:rFonts w:ascii="Times New Roman" w:hAnsi="Times New Roman" w:cs="Times New Roman"/>
                <w:b/>
                <w:bCs/>
                <w:sz w:val="28"/>
                <w:szCs w:val="28"/>
              </w:rPr>
            </w:pPr>
            <w:r w:rsidRPr="00317731">
              <w:rPr>
                <w:rFonts w:ascii="Times New Roman" w:hAnsi="Times New Roman" w:cs="Times New Roman"/>
                <w:b/>
                <w:bCs/>
                <w:sz w:val="28"/>
                <w:szCs w:val="28"/>
              </w:rPr>
              <w:t>17,3</w:t>
            </w:r>
          </w:p>
        </w:tc>
        <w:tc>
          <w:tcPr>
            <w:tcW w:w="2912" w:type="dxa"/>
            <w:vAlign w:val="center"/>
          </w:tcPr>
          <w:p w:rsidR="0020309F" w:rsidRPr="00317731" w:rsidRDefault="0020309F" w:rsidP="00E80C8C">
            <w:pPr>
              <w:jc w:val="both"/>
              <w:rPr>
                <w:rFonts w:ascii="Times New Roman" w:hAnsi="Times New Roman" w:cs="Times New Roman"/>
                <w:b/>
                <w:bCs/>
                <w:sz w:val="28"/>
                <w:szCs w:val="28"/>
              </w:rPr>
            </w:pPr>
            <w:r w:rsidRPr="00317731">
              <w:rPr>
                <w:rFonts w:ascii="Times New Roman" w:hAnsi="Times New Roman" w:cs="Times New Roman"/>
                <w:b/>
                <w:bCs/>
                <w:sz w:val="28"/>
                <w:szCs w:val="28"/>
              </w:rPr>
              <w:t>1,6</w:t>
            </w:r>
          </w:p>
        </w:tc>
      </w:tr>
      <w:tr w:rsidR="0020309F" w:rsidRPr="001602B1" w:rsidTr="00E80C8C">
        <w:trPr>
          <w:jc w:val="center"/>
        </w:trPr>
        <w:tc>
          <w:tcPr>
            <w:tcW w:w="2912" w:type="dxa"/>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2010</w:t>
            </w:r>
          </w:p>
        </w:tc>
        <w:tc>
          <w:tcPr>
            <w:tcW w:w="2912" w:type="dxa"/>
            <w:vAlign w:val="center"/>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93,4</w:t>
            </w:r>
          </w:p>
        </w:tc>
        <w:tc>
          <w:tcPr>
            <w:tcW w:w="2912" w:type="dxa"/>
            <w:vAlign w:val="center"/>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68,6</w:t>
            </w:r>
          </w:p>
        </w:tc>
        <w:tc>
          <w:tcPr>
            <w:tcW w:w="2912" w:type="dxa"/>
            <w:vAlign w:val="center"/>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8,7</w:t>
            </w:r>
          </w:p>
        </w:tc>
        <w:tc>
          <w:tcPr>
            <w:tcW w:w="2912" w:type="dxa"/>
            <w:vAlign w:val="center"/>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1,6</w:t>
            </w:r>
          </w:p>
        </w:tc>
      </w:tr>
      <w:tr w:rsidR="0020309F" w:rsidRPr="001602B1" w:rsidTr="00E80C8C">
        <w:trPr>
          <w:jc w:val="center"/>
        </w:trPr>
        <w:tc>
          <w:tcPr>
            <w:tcW w:w="2912" w:type="dxa"/>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2011</w:t>
            </w:r>
          </w:p>
        </w:tc>
        <w:tc>
          <w:tcPr>
            <w:tcW w:w="2912" w:type="dxa"/>
            <w:vAlign w:val="center"/>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118,6</w:t>
            </w:r>
          </w:p>
        </w:tc>
        <w:tc>
          <w:tcPr>
            <w:tcW w:w="2912" w:type="dxa"/>
            <w:vAlign w:val="center"/>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77,9</w:t>
            </w:r>
          </w:p>
        </w:tc>
        <w:tc>
          <w:tcPr>
            <w:tcW w:w="2912" w:type="dxa"/>
            <w:vAlign w:val="center"/>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15,3</w:t>
            </w:r>
          </w:p>
        </w:tc>
        <w:tc>
          <w:tcPr>
            <w:tcW w:w="2912" w:type="dxa"/>
            <w:vAlign w:val="center"/>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1,15</w:t>
            </w:r>
          </w:p>
        </w:tc>
      </w:tr>
      <w:tr w:rsidR="0020309F" w:rsidRPr="001602B1" w:rsidTr="00E80C8C">
        <w:trPr>
          <w:jc w:val="center"/>
        </w:trPr>
        <w:tc>
          <w:tcPr>
            <w:tcW w:w="2912" w:type="dxa"/>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2012</w:t>
            </w:r>
          </w:p>
        </w:tc>
        <w:tc>
          <w:tcPr>
            <w:tcW w:w="2912" w:type="dxa"/>
            <w:vAlign w:val="center"/>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140,6</w:t>
            </w:r>
          </w:p>
        </w:tc>
        <w:tc>
          <w:tcPr>
            <w:tcW w:w="2912" w:type="dxa"/>
            <w:vAlign w:val="center"/>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138,7</w:t>
            </w:r>
          </w:p>
        </w:tc>
        <w:tc>
          <w:tcPr>
            <w:tcW w:w="2912" w:type="dxa"/>
            <w:vAlign w:val="center"/>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17,9</w:t>
            </w:r>
          </w:p>
        </w:tc>
        <w:tc>
          <w:tcPr>
            <w:tcW w:w="2912" w:type="dxa"/>
            <w:vAlign w:val="center"/>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1,13</w:t>
            </w:r>
          </w:p>
        </w:tc>
      </w:tr>
      <w:tr w:rsidR="0020309F" w:rsidRPr="001602B1" w:rsidTr="00E80C8C">
        <w:trPr>
          <w:jc w:val="center"/>
        </w:trPr>
        <w:tc>
          <w:tcPr>
            <w:tcW w:w="2912" w:type="dxa"/>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lastRenderedPageBreak/>
              <w:t>2013</w:t>
            </w:r>
          </w:p>
        </w:tc>
        <w:tc>
          <w:tcPr>
            <w:tcW w:w="2912" w:type="dxa"/>
            <w:vAlign w:val="center"/>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146,8</w:t>
            </w:r>
          </w:p>
        </w:tc>
        <w:tc>
          <w:tcPr>
            <w:tcW w:w="2912" w:type="dxa"/>
            <w:vAlign w:val="center"/>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135,2</w:t>
            </w:r>
          </w:p>
        </w:tc>
        <w:tc>
          <w:tcPr>
            <w:tcW w:w="2912" w:type="dxa"/>
            <w:vAlign w:val="center"/>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12,8</w:t>
            </w:r>
          </w:p>
        </w:tc>
        <w:tc>
          <w:tcPr>
            <w:tcW w:w="2912" w:type="dxa"/>
            <w:vAlign w:val="center"/>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1,11</w:t>
            </w:r>
          </w:p>
        </w:tc>
      </w:tr>
      <w:tr w:rsidR="0020309F" w:rsidRPr="001602B1" w:rsidTr="00E80C8C">
        <w:trPr>
          <w:jc w:val="center"/>
        </w:trPr>
        <w:tc>
          <w:tcPr>
            <w:tcW w:w="2912" w:type="dxa"/>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2014</w:t>
            </w:r>
          </w:p>
        </w:tc>
        <w:tc>
          <w:tcPr>
            <w:tcW w:w="2912" w:type="dxa"/>
            <w:vAlign w:val="center"/>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81,0</w:t>
            </w:r>
          </w:p>
        </w:tc>
        <w:tc>
          <w:tcPr>
            <w:tcW w:w="2912" w:type="dxa"/>
            <w:vAlign w:val="center"/>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52,7</w:t>
            </w:r>
          </w:p>
        </w:tc>
        <w:tc>
          <w:tcPr>
            <w:tcW w:w="2912" w:type="dxa"/>
            <w:vAlign w:val="center"/>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9,4</w:t>
            </w:r>
          </w:p>
        </w:tc>
        <w:tc>
          <w:tcPr>
            <w:tcW w:w="2912" w:type="dxa"/>
            <w:vAlign w:val="center"/>
          </w:tcPr>
          <w:p w:rsidR="0020309F" w:rsidRPr="00317731" w:rsidRDefault="0020309F" w:rsidP="00E80C8C">
            <w:pPr>
              <w:jc w:val="both"/>
              <w:rPr>
                <w:rFonts w:ascii="Times New Roman" w:hAnsi="Times New Roman" w:cs="Times New Roman"/>
                <w:sz w:val="28"/>
                <w:szCs w:val="28"/>
              </w:rPr>
            </w:pPr>
            <w:r w:rsidRPr="00317731">
              <w:rPr>
                <w:rFonts w:ascii="Times New Roman" w:hAnsi="Times New Roman" w:cs="Times New Roman"/>
                <w:sz w:val="28"/>
                <w:szCs w:val="28"/>
              </w:rPr>
              <w:t>1,09</w:t>
            </w:r>
          </w:p>
        </w:tc>
      </w:tr>
      <w:tr w:rsidR="0020309F" w:rsidRPr="001602B1" w:rsidTr="00E80C8C">
        <w:trPr>
          <w:jc w:val="center"/>
        </w:trPr>
        <w:tc>
          <w:tcPr>
            <w:tcW w:w="2912" w:type="dxa"/>
          </w:tcPr>
          <w:p w:rsidR="0020309F" w:rsidRPr="00317731" w:rsidRDefault="0020309F" w:rsidP="00E80C8C">
            <w:pPr>
              <w:jc w:val="both"/>
              <w:rPr>
                <w:rFonts w:ascii="Times New Roman" w:hAnsi="Times New Roman" w:cs="Times New Roman"/>
                <w:b/>
                <w:bCs/>
                <w:sz w:val="28"/>
                <w:szCs w:val="28"/>
              </w:rPr>
            </w:pPr>
            <w:r w:rsidRPr="00317731">
              <w:rPr>
                <w:rFonts w:ascii="Times New Roman" w:hAnsi="Times New Roman" w:cs="Times New Roman"/>
                <w:b/>
                <w:bCs/>
                <w:sz w:val="28"/>
                <w:szCs w:val="28"/>
              </w:rPr>
              <w:t>2010-2014</w:t>
            </w:r>
          </w:p>
        </w:tc>
        <w:tc>
          <w:tcPr>
            <w:tcW w:w="2912" w:type="dxa"/>
            <w:vAlign w:val="center"/>
          </w:tcPr>
          <w:p w:rsidR="0020309F" w:rsidRPr="00317731" w:rsidRDefault="0020309F" w:rsidP="00E80C8C">
            <w:pPr>
              <w:jc w:val="both"/>
              <w:rPr>
                <w:rFonts w:ascii="Times New Roman" w:hAnsi="Times New Roman" w:cs="Times New Roman"/>
                <w:b/>
                <w:bCs/>
                <w:sz w:val="28"/>
                <w:szCs w:val="28"/>
              </w:rPr>
            </w:pPr>
            <w:r w:rsidRPr="00317731">
              <w:rPr>
                <w:rFonts w:ascii="Times New Roman" w:hAnsi="Times New Roman" w:cs="Times New Roman"/>
                <w:b/>
                <w:bCs/>
                <w:sz w:val="28"/>
                <w:szCs w:val="28"/>
              </w:rPr>
              <w:t>580,4</w:t>
            </w:r>
          </w:p>
        </w:tc>
        <w:tc>
          <w:tcPr>
            <w:tcW w:w="2912" w:type="dxa"/>
            <w:vAlign w:val="center"/>
          </w:tcPr>
          <w:p w:rsidR="0020309F" w:rsidRPr="00317731" w:rsidRDefault="0020309F" w:rsidP="00E80C8C">
            <w:pPr>
              <w:jc w:val="both"/>
              <w:rPr>
                <w:rFonts w:ascii="Times New Roman" w:hAnsi="Times New Roman" w:cs="Times New Roman"/>
                <w:b/>
                <w:bCs/>
                <w:sz w:val="28"/>
                <w:szCs w:val="28"/>
              </w:rPr>
            </w:pPr>
            <w:r w:rsidRPr="00317731">
              <w:rPr>
                <w:rFonts w:ascii="Times New Roman" w:hAnsi="Times New Roman" w:cs="Times New Roman"/>
                <w:b/>
                <w:bCs/>
                <w:sz w:val="28"/>
                <w:szCs w:val="28"/>
              </w:rPr>
              <w:t>473,1</w:t>
            </w:r>
          </w:p>
        </w:tc>
        <w:tc>
          <w:tcPr>
            <w:tcW w:w="2912" w:type="dxa"/>
            <w:vAlign w:val="center"/>
          </w:tcPr>
          <w:p w:rsidR="0020309F" w:rsidRPr="00317731" w:rsidRDefault="0020309F" w:rsidP="00E80C8C">
            <w:pPr>
              <w:jc w:val="both"/>
              <w:rPr>
                <w:rFonts w:ascii="Times New Roman" w:hAnsi="Times New Roman" w:cs="Times New Roman"/>
                <w:b/>
                <w:bCs/>
                <w:sz w:val="28"/>
                <w:szCs w:val="28"/>
              </w:rPr>
            </w:pPr>
            <w:r w:rsidRPr="00317731">
              <w:rPr>
                <w:rFonts w:ascii="Times New Roman" w:hAnsi="Times New Roman" w:cs="Times New Roman"/>
                <w:b/>
                <w:bCs/>
                <w:sz w:val="28"/>
                <w:szCs w:val="28"/>
              </w:rPr>
              <w:t>64,1</w:t>
            </w:r>
          </w:p>
        </w:tc>
        <w:tc>
          <w:tcPr>
            <w:tcW w:w="2912" w:type="dxa"/>
            <w:vAlign w:val="center"/>
          </w:tcPr>
          <w:p w:rsidR="0020309F" w:rsidRPr="00317731" w:rsidRDefault="0020309F" w:rsidP="00E80C8C">
            <w:pPr>
              <w:jc w:val="both"/>
              <w:rPr>
                <w:rFonts w:ascii="Times New Roman" w:hAnsi="Times New Roman" w:cs="Times New Roman"/>
                <w:b/>
                <w:bCs/>
                <w:sz w:val="28"/>
                <w:szCs w:val="28"/>
              </w:rPr>
            </w:pPr>
            <w:r w:rsidRPr="00317731">
              <w:rPr>
                <w:rFonts w:ascii="Times New Roman" w:hAnsi="Times New Roman" w:cs="Times New Roman"/>
                <w:b/>
                <w:bCs/>
                <w:sz w:val="28"/>
                <w:szCs w:val="28"/>
              </w:rPr>
              <w:t>1,2</w:t>
            </w:r>
          </w:p>
        </w:tc>
      </w:tr>
    </w:tbl>
    <w:p w:rsidR="0020309F" w:rsidRPr="00317731" w:rsidRDefault="0020309F" w:rsidP="0020309F">
      <w:pPr>
        <w:widowControl w:val="0"/>
        <w:autoSpaceDE w:val="0"/>
        <w:autoSpaceDN w:val="0"/>
        <w:adjustRightInd w:val="0"/>
        <w:spacing w:after="0"/>
        <w:ind w:firstLine="708"/>
        <w:jc w:val="both"/>
        <w:rPr>
          <w:rFonts w:ascii="Times New Roman" w:hAnsi="Times New Roman" w:cs="Times New Roman"/>
          <w:sz w:val="28"/>
          <w:szCs w:val="28"/>
        </w:rPr>
      </w:pPr>
    </w:p>
    <w:p w:rsidR="0020309F" w:rsidRPr="00317731" w:rsidRDefault="0020309F" w:rsidP="0020309F">
      <w:pPr>
        <w:widowControl w:val="0"/>
        <w:autoSpaceDE w:val="0"/>
        <w:autoSpaceDN w:val="0"/>
        <w:adjustRightInd w:val="0"/>
        <w:spacing w:after="0"/>
        <w:ind w:firstLine="284"/>
        <w:jc w:val="both"/>
        <w:rPr>
          <w:rFonts w:ascii="Times New Roman" w:hAnsi="Times New Roman" w:cs="Times New Roman"/>
          <w:sz w:val="28"/>
          <w:szCs w:val="28"/>
        </w:rPr>
      </w:pPr>
      <w:r>
        <w:rPr>
          <w:noProof/>
          <w:lang w:eastAsia="ru-RU"/>
        </w:rPr>
        <w:drawing>
          <wp:inline distT="0" distB="0" distL="0" distR="0">
            <wp:extent cx="5514975" cy="4629150"/>
            <wp:effectExtent l="0" t="0" r="9525" b="0"/>
            <wp:docPr id="6" name="Рисунок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3"/>
                    <pic:cNvPicPr>
                      <a:picLocks noChangeArrowheads="1"/>
                    </pic:cNvPicPr>
                  </pic:nvPicPr>
                  <pic:blipFill>
                    <a:blip r:embed="rId10">
                      <a:extLst>
                        <a:ext uri="{28A0092B-C50C-407E-A947-70E740481C1C}">
                          <a14:useLocalDpi xmlns:a14="http://schemas.microsoft.com/office/drawing/2010/main" val="0"/>
                        </a:ext>
                      </a:extLst>
                    </a:blip>
                    <a:srcRect b="-41"/>
                    <a:stretch>
                      <a:fillRect/>
                    </a:stretch>
                  </pic:blipFill>
                  <pic:spPr bwMode="auto">
                    <a:xfrm>
                      <a:off x="0" y="0"/>
                      <a:ext cx="5514975" cy="4629150"/>
                    </a:xfrm>
                    <a:prstGeom prst="rect">
                      <a:avLst/>
                    </a:prstGeom>
                    <a:noFill/>
                    <a:ln>
                      <a:noFill/>
                    </a:ln>
                  </pic:spPr>
                </pic:pic>
              </a:graphicData>
            </a:graphic>
          </wp:inline>
        </w:drawing>
      </w:r>
    </w:p>
    <w:p w:rsidR="0020309F" w:rsidRPr="00317731" w:rsidRDefault="0020309F" w:rsidP="0020309F">
      <w:pPr>
        <w:widowControl w:val="0"/>
        <w:autoSpaceDE w:val="0"/>
        <w:autoSpaceDN w:val="0"/>
        <w:adjustRightInd w:val="0"/>
        <w:spacing w:after="0"/>
        <w:ind w:firstLine="708"/>
        <w:jc w:val="both"/>
        <w:rPr>
          <w:rFonts w:ascii="Times New Roman" w:hAnsi="Times New Roman" w:cs="Times New Roman"/>
          <w:sz w:val="28"/>
          <w:szCs w:val="28"/>
        </w:rPr>
      </w:pPr>
    </w:p>
    <w:p w:rsidR="0020309F" w:rsidRPr="00317731" w:rsidRDefault="0020309F" w:rsidP="0020309F">
      <w:pPr>
        <w:widowControl w:val="0"/>
        <w:autoSpaceDE w:val="0"/>
        <w:autoSpaceDN w:val="0"/>
        <w:adjustRightInd w:val="0"/>
        <w:spacing w:after="0"/>
        <w:ind w:firstLine="284"/>
        <w:jc w:val="both"/>
        <w:rPr>
          <w:rFonts w:ascii="Times New Roman" w:hAnsi="Times New Roman" w:cs="Times New Roman"/>
          <w:sz w:val="28"/>
          <w:szCs w:val="28"/>
        </w:rPr>
      </w:pPr>
      <w:r>
        <w:rPr>
          <w:noProof/>
          <w:lang w:eastAsia="ru-RU"/>
        </w:rPr>
        <w:lastRenderedPageBreak/>
        <w:drawing>
          <wp:inline distT="0" distB="0" distL="0" distR="0">
            <wp:extent cx="5648325" cy="3686175"/>
            <wp:effectExtent l="0" t="0" r="9525" b="9525"/>
            <wp:docPr id="5"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2"/>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48325" cy="3686175"/>
                    </a:xfrm>
                    <a:prstGeom prst="rect">
                      <a:avLst/>
                    </a:prstGeom>
                    <a:noFill/>
                    <a:ln>
                      <a:noFill/>
                    </a:ln>
                  </pic:spPr>
                </pic:pic>
              </a:graphicData>
            </a:graphic>
          </wp:inline>
        </w:drawing>
      </w:r>
    </w:p>
    <w:p w:rsidR="0020309F" w:rsidRPr="00317731" w:rsidRDefault="0020309F" w:rsidP="0020309F">
      <w:pPr>
        <w:widowControl w:val="0"/>
        <w:autoSpaceDE w:val="0"/>
        <w:autoSpaceDN w:val="0"/>
        <w:adjustRightInd w:val="0"/>
        <w:spacing w:after="0"/>
        <w:ind w:firstLine="708"/>
        <w:jc w:val="both"/>
        <w:rPr>
          <w:rFonts w:ascii="Times New Roman" w:hAnsi="Times New Roman" w:cs="Times New Roman"/>
          <w:sz w:val="28"/>
          <w:szCs w:val="28"/>
        </w:rPr>
      </w:pPr>
    </w:p>
    <w:p w:rsidR="0020309F" w:rsidRDefault="0020309F" w:rsidP="0020309F">
      <w:pPr>
        <w:widowControl w:val="0"/>
        <w:autoSpaceDE w:val="0"/>
        <w:autoSpaceDN w:val="0"/>
        <w:adjustRightInd w:val="0"/>
        <w:spacing w:after="0"/>
        <w:ind w:firstLine="540"/>
        <w:jc w:val="both"/>
        <w:rPr>
          <w:rFonts w:ascii="Times New Roman" w:hAnsi="Times New Roman" w:cs="Times New Roman"/>
          <w:sz w:val="28"/>
          <w:szCs w:val="28"/>
        </w:rPr>
      </w:pPr>
    </w:p>
    <w:p w:rsidR="0020309F" w:rsidRDefault="0020309F" w:rsidP="0020309F">
      <w:pPr>
        <w:widowControl w:val="0"/>
        <w:autoSpaceDE w:val="0"/>
        <w:autoSpaceDN w:val="0"/>
        <w:adjustRightInd w:val="0"/>
        <w:spacing w:after="0"/>
        <w:ind w:firstLine="540"/>
        <w:jc w:val="both"/>
        <w:rPr>
          <w:rFonts w:ascii="Times New Roman" w:hAnsi="Times New Roman" w:cs="Times New Roman"/>
          <w:sz w:val="28"/>
          <w:szCs w:val="28"/>
        </w:rPr>
      </w:pPr>
    </w:p>
    <w:p w:rsidR="0020309F" w:rsidRPr="00317731" w:rsidRDefault="0020309F" w:rsidP="0020309F">
      <w:pPr>
        <w:widowControl w:val="0"/>
        <w:autoSpaceDE w:val="0"/>
        <w:autoSpaceDN w:val="0"/>
        <w:adjustRightInd w:val="0"/>
        <w:spacing w:after="0"/>
        <w:ind w:firstLine="540"/>
        <w:jc w:val="both"/>
        <w:rPr>
          <w:rFonts w:ascii="Times New Roman" w:hAnsi="Times New Roman" w:cs="Times New Roman"/>
          <w:sz w:val="28"/>
          <w:szCs w:val="28"/>
        </w:rPr>
      </w:pPr>
      <w:r w:rsidRPr="00317731">
        <w:rPr>
          <w:rFonts w:ascii="Times New Roman" w:hAnsi="Times New Roman" w:cs="Times New Roman"/>
          <w:sz w:val="28"/>
          <w:szCs w:val="28"/>
        </w:rPr>
        <w:t>Уровень газификации городов Югры с 2005 года не изменился и составляет 100%. В свою очередь, уровень газификации сельских населенных пунктов ежегодно увеличивается и по итогам 2014 года данный показатель составил 43,7%, что на 7,2% выше показателя 2010 года и на 13,8% показателя 2005 года.</w:t>
      </w:r>
    </w:p>
    <w:p w:rsidR="0020309F" w:rsidRPr="00317731" w:rsidRDefault="0020309F" w:rsidP="0020309F">
      <w:pPr>
        <w:widowControl w:val="0"/>
        <w:autoSpaceDE w:val="0"/>
        <w:autoSpaceDN w:val="0"/>
        <w:adjustRightInd w:val="0"/>
        <w:spacing w:after="0"/>
        <w:ind w:firstLine="540"/>
        <w:jc w:val="both"/>
        <w:rPr>
          <w:rFonts w:ascii="Times New Roman" w:hAnsi="Times New Roman" w:cs="Times New Roman"/>
          <w:sz w:val="28"/>
          <w:szCs w:val="28"/>
        </w:rPr>
      </w:pPr>
      <w:r w:rsidRPr="00317731">
        <w:rPr>
          <w:rFonts w:ascii="Times New Roman" w:hAnsi="Times New Roman" w:cs="Times New Roman"/>
          <w:sz w:val="28"/>
          <w:szCs w:val="28"/>
        </w:rPr>
        <w:t xml:space="preserve">В связи с успешной реализацией мероприятий по развитию межпоселковых и </w:t>
      </w:r>
      <w:proofErr w:type="spellStart"/>
      <w:r w:rsidRPr="00317731">
        <w:rPr>
          <w:rFonts w:ascii="Times New Roman" w:hAnsi="Times New Roman" w:cs="Times New Roman"/>
          <w:sz w:val="28"/>
          <w:szCs w:val="28"/>
        </w:rPr>
        <w:t>внутрипоселковых</w:t>
      </w:r>
      <w:proofErr w:type="spellEnd"/>
      <w:r w:rsidRPr="00317731">
        <w:rPr>
          <w:rFonts w:ascii="Times New Roman" w:hAnsi="Times New Roman" w:cs="Times New Roman"/>
          <w:sz w:val="28"/>
          <w:szCs w:val="28"/>
        </w:rPr>
        <w:t xml:space="preserve"> систем газоснабжения прослеживается стабильная динамика увеличения протяженности газопроводов. Так за прошедшие 10 лет было построено и введено в эксплуатацию более 894 км газопроводов:</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17"/>
        <w:gridCol w:w="764"/>
        <w:gridCol w:w="764"/>
        <w:gridCol w:w="764"/>
        <w:gridCol w:w="764"/>
        <w:gridCol w:w="763"/>
        <w:gridCol w:w="763"/>
        <w:gridCol w:w="763"/>
        <w:gridCol w:w="763"/>
        <w:gridCol w:w="763"/>
        <w:gridCol w:w="763"/>
      </w:tblGrid>
      <w:tr w:rsidR="0020309F" w:rsidRPr="001602B1" w:rsidTr="00E80C8C">
        <w:tc>
          <w:tcPr>
            <w:tcW w:w="1816"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4"/>
                <w:szCs w:val="24"/>
              </w:rPr>
            </w:pPr>
            <w:r w:rsidRPr="00317731">
              <w:rPr>
                <w:rFonts w:ascii="Times New Roman" w:hAnsi="Times New Roman" w:cs="Times New Roman"/>
                <w:sz w:val="24"/>
                <w:szCs w:val="24"/>
              </w:rPr>
              <w:t>Показатель</w:t>
            </w:r>
          </w:p>
        </w:tc>
        <w:tc>
          <w:tcPr>
            <w:tcW w:w="776"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4"/>
                <w:szCs w:val="24"/>
              </w:rPr>
            </w:pPr>
            <w:r w:rsidRPr="00317731">
              <w:rPr>
                <w:rFonts w:ascii="Times New Roman" w:hAnsi="Times New Roman" w:cs="Times New Roman"/>
                <w:sz w:val="24"/>
                <w:szCs w:val="24"/>
              </w:rPr>
              <w:t>2005</w:t>
            </w:r>
          </w:p>
        </w:tc>
        <w:tc>
          <w:tcPr>
            <w:tcW w:w="776"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4"/>
                <w:szCs w:val="24"/>
              </w:rPr>
            </w:pPr>
            <w:r w:rsidRPr="00317731">
              <w:rPr>
                <w:rFonts w:ascii="Times New Roman" w:hAnsi="Times New Roman" w:cs="Times New Roman"/>
                <w:sz w:val="24"/>
                <w:szCs w:val="24"/>
              </w:rPr>
              <w:t>2006</w:t>
            </w:r>
          </w:p>
        </w:tc>
        <w:tc>
          <w:tcPr>
            <w:tcW w:w="776"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4"/>
                <w:szCs w:val="24"/>
              </w:rPr>
            </w:pPr>
            <w:r w:rsidRPr="00317731">
              <w:rPr>
                <w:rFonts w:ascii="Times New Roman" w:hAnsi="Times New Roman" w:cs="Times New Roman"/>
                <w:sz w:val="24"/>
                <w:szCs w:val="24"/>
              </w:rPr>
              <w:t>2007</w:t>
            </w:r>
          </w:p>
        </w:tc>
        <w:tc>
          <w:tcPr>
            <w:tcW w:w="776"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4"/>
                <w:szCs w:val="24"/>
              </w:rPr>
            </w:pPr>
            <w:r w:rsidRPr="00317731">
              <w:rPr>
                <w:rFonts w:ascii="Times New Roman" w:hAnsi="Times New Roman" w:cs="Times New Roman"/>
                <w:sz w:val="24"/>
                <w:szCs w:val="24"/>
              </w:rPr>
              <w:t>2008</w:t>
            </w:r>
          </w:p>
        </w:tc>
        <w:tc>
          <w:tcPr>
            <w:tcW w:w="775"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4"/>
                <w:szCs w:val="24"/>
              </w:rPr>
            </w:pPr>
            <w:r w:rsidRPr="00317731">
              <w:rPr>
                <w:rFonts w:ascii="Times New Roman" w:hAnsi="Times New Roman" w:cs="Times New Roman"/>
                <w:sz w:val="24"/>
                <w:szCs w:val="24"/>
              </w:rPr>
              <w:t>2009</w:t>
            </w:r>
          </w:p>
        </w:tc>
        <w:tc>
          <w:tcPr>
            <w:tcW w:w="775"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4"/>
                <w:szCs w:val="24"/>
              </w:rPr>
            </w:pPr>
            <w:r w:rsidRPr="00317731">
              <w:rPr>
                <w:rFonts w:ascii="Times New Roman" w:hAnsi="Times New Roman" w:cs="Times New Roman"/>
                <w:sz w:val="24"/>
                <w:szCs w:val="24"/>
              </w:rPr>
              <w:t>2010</w:t>
            </w:r>
          </w:p>
        </w:tc>
        <w:tc>
          <w:tcPr>
            <w:tcW w:w="775"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4"/>
                <w:szCs w:val="24"/>
              </w:rPr>
            </w:pPr>
            <w:r w:rsidRPr="00317731">
              <w:rPr>
                <w:rFonts w:ascii="Times New Roman" w:hAnsi="Times New Roman" w:cs="Times New Roman"/>
                <w:sz w:val="24"/>
                <w:szCs w:val="24"/>
              </w:rPr>
              <w:t>2011</w:t>
            </w:r>
          </w:p>
        </w:tc>
        <w:tc>
          <w:tcPr>
            <w:tcW w:w="775"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4"/>
                <w:szCs w:val="24"/>
              </w:rPr>
            </w:pPr>
            <w:r w:rsidRPr="00317731">
              <w:rPr>
                <w:rFonts w:ascii="Times New Roman" w:hAnsi="Times New Roman" w:cs="Times New Roman"/>
                <w:sz w:val="24"/>
                <w:szCs w:val="24"/>
              </w:rPr>
              <w:t>2012</w:t>
            </w:r>
          </w:p>
        </w:tc>
        <w:tc>
          <w:tcPr>
            <w:tcW w:w="775"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4"/>
                <w:szCs w:val="24"/>
              </w:rPr>
            </w:pPr>
            <w:r w:rsidRPr="00317731">
              <w:rPr>
                <w:rFonts w:ascii="Times New Roman" w:hAnsi="Times New Roman" w:cs="Times New Roman"/>
                <w:sz w:val="24"/>
                <w:szCs w:val="24"/>
              </w:rPr>
              <w:t>2013</w:t>
            </w:r>
          </w:p>
        </w:tc>
        <w:tc>
          <w:tcPr>
            <w:tcW w:w="775" w:type="dxa"/>
          </w:tcPr>
          <w:p w:rsidR="0020309F" w:rsidRPr="00317731" w:rsidRDefault="0020309F" w:rsidP="00E80C8C">
            <w:pPr>
              <w:widowControl w:val="0"/>
              <w:autoSpaceDE w:val="0"/>
              <w:autoSpaceDN w:val="0"/>
              <w:adjustRightInd w:val="0"/>
              <w:spacing w:after="0"/>
              <w:jc w:val="both"/>
              <w:rPr>
                <w:rFonts w:ascii="Times New Roman" w:hAnsi="Times New Roman" w:cs="Times New Roman"/>
                <w:sz w:val="24"/>
                <w:szCs w:val="24"/>
              </w:rPr>
            </w:pPr>
            <w:r w:rsidRPr="00317731">
              <w:rPr>
                <w:rFonts w:ascii="Times New Roman" w:hAnsi="Times New Roman" w:cs="Times New Roman"/>
                <w:sz w:val="24"/>
                <w:szCs w:val="24"/>
              </w:rPr>
              <w:t>2014</w:t>
            </w:r>
          </w:p>
        </w:tc>
      </w:tr>
      <w:tr w:rsidR="0020309F" w:rsidRPr="001602B1" w:rsidTr="00E80C8C">
        <w:tc>
          <w:tcPr>
            <w:tcW w:w="1816" w:type="dxa"/>
            <w:vAlign w:val="center"/>
          </w:tcPr>
          <w:p w:rsidR="0020309F" w:rsidRPr="00317731" w:rsidRDefault="0020309F" w:rsidP="00E80C8C">
            <w:pPr>
              <w:widowControl w:val="0"/>
              <w:autoSpaceDE w:val="0"/>
              <w:autoSpaceDN w:val="0"/>
              <w:adjustRightInd w:val="0"/>
              <w:spacing w:after="0"/>
              <w:jc w:val="both"/>
              <w:rPr>
                <w:rFonts w:ascii="Times New Roman" w:hAnsi="Times New Roman" w:cs="Times New Roman"/>
                <w:sz w:val="24"/>
                <w:szCs w:val="24"/>
              </w:rPr>
            </w:pPr>
            <w:r w:rsidRPr="00317731">
              <w:rPr>
                <w:rFonts w:ascii="Times New Roman" w:hAnsi="Times New Roman" w:cs="Times New Roman"/>
                <w:sz w:val="24"/>
                <w:szCs w:val="24"/>
              </w:rPr>
              <w:t>Протяженность газопроводов, км</w:t>
            </w:r>
          </w:p>
        </w:tc>
        <w:tc>
          <w:tcPr>
            <w:tcW w:w="776" w:type="dxa"/>
            <w:vAlign w:val="center"/>
          </w:tcPr>
          <w:p w:rsidR="0020309F" w:rsidRPr="00317731" w:rsidRDefault="0020309F" w:rsidP="00E80C8C">
            <w:pPr>
              <w:widowControl w:val="0"/>
              <w:autoSpaceDE w:val="0"/>
              <w:autoSpaceDN w:val="0"/>
              <w:adjustRightInd w:val="0"/>
              <w:spacing w:after="0"/>
              <w:jc w:val="both"/>
              <w:rPr>
                <w:rFonts w:ascii="Times New Roman" w:hAnsi="Times New Roman" w:cs="Times New Roman"/>
                <w:sz w:val="24"/>
                <w:szCs w:val="24"/>
              </w:rPr>
            </w:pPr>
            <w:r w:rsidRPr="00317731">
              <w:rPr>
                <w:rFonts w:ascii="Times New Roman" w:hAnsi="Times New Roman" w:cs="Times New Roman"/>
                <w:sz w:val="24"/>
                <w:szCs w:val="24"/>
              </w:rPr>
              <w:t>1612</w:t>
            </w:r>
          </w:p>
        </w:tc>
        <w:tc>
          <w:tcPr>
            <w:tcW w:w="776" w:type="dxa"/>
            <w:vAlign w:val="center"/>
          </w:tcPr>
          <w:p w:rsidR="0020309F" w:rsidRPr="00317731" w:rsidRDefault="0020309F" w:rsidP="00E80C8C">
            <w:pPr>
              <w:widowControl w:val="0"/>
              <w:autoSpaceDE w:val="0"/>
              <w:autoSpaceDN w:val="0"/>
              <w:adjustRightInd w:val="0"/>
              <w:spacing w:after="0"/>
              <w:jc w:val="both"/>
              <w:rPr>
                <w:rFonts w:ascii="Times New Roman" w:hAnsi="Times New Roman" w:cs="Times New Roman"/>
                <w:sz w:val="24"/>
                <w:szCs w:val="24"/>
              </w:rPr>
            </w:pPr>
            <w:r w:rsidRPr="00317731">
              <w:rPr>
                <w:rFonts w:ascii="Times New Roman" w:hAnsi="Times New Roman" w:cs="Times New Roman"/>
                <w:sz w:val="24"/>
                <w:szCs w:val="24"/>
              </w:rPr>
              <w:t>1987</w:t>
            </w:r>
          </w:p>
        </w:tc>
        <w:tc>
          <w:tcPr>
            <w:tcW w:w="776" w:type="dxa"/>
            <w:vAlign w:val="center"/>
          </w:tcPr>
          <w:p w:rsidR="0020309F" w:rsidRPr="00317731" w:rsidRDefault="0020309F" w:rsidP="00E80C8C">
            <w:pPr>
              <w:widowControl w:val="0"/>
              <w:autoSpaceDE w:val="0"/>
              <w:autoSpaceDN w:val="0"/>
              <w:adjustRightInd w:val="0"/>
              <w:spacing w:after="0"/>
              <w:jc w:val="both"/>
              <w:rPr>
                <w:rFonts w:ascii="Times New Roman" w:hAnsi="Times New Roman" w:cs="Times New Roman"/>
                <w:sz w:val="24"/>
                <w:szCs w:val="24"/>
              </w:rPr>
            </w:pPr>
            <w:r w:rsidRPr="00317731">
              <w:rPr>
                <w:rFonts w:ascii="Times New Roman" w:hAnsi="Times New Roman" w:cs="Times New Roman"/>
                <w:sz w:val="24"/>
                <w:szCs w:val="24"/>
              </w:rPr>
              <w:t>2002</w:t>
            </w:r>
          </w:p>
        </w:tc>
        <w:tc>
          <w:tcPr>
            <w:tcW w:w="776" w:type="dxa"/>
            <w:vAlign w:val="center"/>
          </w:tcPr>
          <w:p w:rsidR="0020309F" w:rsidRPr="00317731" w:rsidRDefault="0020309F" w:rsidP="00E80C8C">
            <w:pPr>
              <w:widowControl w:val="0"/>
              <w:autoSpaceDE w:val="0"/>
              <w:autoSpaceDN w:val="0"/>
              <w:adjustRightInd w:val="0"/>
              <w:spacing w:after="0"/>
              <w:jc w:val="both"/>
              <w:rPr>
                <w:rFonts w:ascii="Times New Roman" w:hAnsi="Times New Roman" w:cs="Times New Roman"/>
                <w:sz w:val="24"/>
                <w:szCs w:val="24"/>
              </w:rPr>
            </w:pPr>
            <w:r w:rsidRPr="00317731">
              <w:rPr>
                <w:rFonts w:ascii="Times New Roman" w:hAnsi="Times New Roman" w:cs="Times New Roman"/>
                <w:sz w:val="24"/>
                <w:szCs w:val="24"/>
              </w:rPr>
              <w:t>2024</w:t>
            </w:r>
          </w:p>
        </w:tc>
        <w:tc>
          <w:tcPr>
            <w:tcW w:w="775" w:type="dxa"/>
            <w:vAlign w:val="center"/>
          </w:tcPr>
          <w:p w:rsidR="0020309F" w:rsidRPr="00317731" w:rsidRDefault="0020309F" w:rsidP="00E80C8C">
            <w:pPr>
              <w:widowControl w:val="0"/>
              <w:autoSpaceDE w:val="0"/>
              <w:autoSpaceDN w:val="0"/>
              <w:adjustRightInd w:val="0"/>
              <w:spacing w:after="0"/>
              <w:jc w:val="both"/>
              <w:rPr>
                <w:rFonts w:ascii="Times New Roman" w:hAnsi="Times New Roman" w:cs="Times New Roman"/>
                <w:sz w:val="24"/>
                <w:szCs w:val="24"/>
              </w:rPr>
            </w:pPr>
            <w:r w:rsidRPr="00317731">
              <w:rPr>
                <w:rFonts w:ascii="Times New Roman" w:hAnsi="Times New Roman" w:cs="Times New Roman"/>
                <w:sz w:val="24"/>
                <w:szCs w:val="24"/>
              </w:rPr>
              <w:t>2032</w:t>
            </w:r>
          </w:p>
        </w:tc>
        <w:tc>
          <w:tcPr>
            <w:tcW w:w="775" w:type="dxa"/>
            <w:vAlign w:val="center"/>
          </w:tcPr>
          <w:p w:rsidR="0020309F" w:rsidRPr="00317731" w:rsidRDefault="0020309F" w:rsidP="00E80C8C">
            <w:pPr>
              <w:widowControl w:val="0"/>
              <w:autoSpaceDE w:val="0"/>
              <w:autoSpaceDN w:val="0"/>
              <w:adjustRightInd w:val="0"/>
              <w:spacing w:after="0"/>
              <w:jc w:val="both"/>
              <w:rPr>
                <w:rFonts w:ascii="Times New Roman" w:hAnsi="Times New Roman" w:cs="Times New Roman"/>
                <w:sz w:val="24"/>
                <w:szCs w:val="24"/>
              </w:rPr>
            </w:pPr>
            <w:r w:rsidRPr="00317731">
              <w:rPr>
                <w:rFonts w:ascii="Times New Roman" w:hAnsi="Times New Roman" w:cs="Times New Roman"/>
                <w:sz w:val="24"/>
                <w:szCs w:val="24"/>
              </w:rPr>
              <w:t>2051</w:t>
            </w:r>
          </w:p>
        </w:tc>
        <w:tc>
          <w:tcPr>
            <w:tcW w:w="775" w:type="dxa"/>
            <w:vAlign w:val="center"/>
          </w:tcPr>
          <w:p w:rsidR="0020309F" w:rsidRPr="00317731" w:rsidRDefault="0020309F" w:rsidP="00E80C8C">
            <w:pPr>
              <w:widowControl w:val="0"/>
              <w:autoSpaceDE w:val="0"/>
              <w:autoSpaceDN w:val="0"/>
              <w:adjustRightInd w:val="0"/>
              <w:spacing w:after="0"/>
              <w:jc w:val="both"/>
              <w:rPr>
                <w:rFonts w:ascii="Times New Roman" w:hAnsi="Times New Roman" w:cs="Times New Roman"/>
                <w:sz w:val="24"/>
                <w:szCs w:val="24"/>
              </w:rPr>
            </w:pPr>
            <w:r w:rsidRPr="00317731">
              <w:rPr>
                <w:rFonts w:ascii="Times New Roman" w:hAnsi="Times New Roman" w:cs="Times New Roman"/>
                <w:sz w:val="24"/>
                <w:szCs w:val="24"/>
              </w:rPr>
              <w:t>2087</w:t>
            </w:r>
          </w:p>
        </w:tc>
        <w:tc>
          <w:tcPr>
            <w:tcW w:w="775" w:type="dxa"/>
            <w:vAlign w:val="center"/>
          </w:tcPr>
          <w:p w:rsidR="0020309F" w:rsidRPr="00317731" w:rsidRDefault="0020309F" w:rsidP="00E80C8C">
            <w:pPr>
              <w:widowControl w:val="0"/>
              <w:autoSpaceDE w:val="0"/>
              <w:autoSpaceDN w:val="0"/>
              <w:adjustRightInd w:val="0"/>
              <w:spacing w:after="0"/>
              <w:jc w:val="both"/>
              <w:rPr>
                <w:rFonts w:ascii="Times New Roman" w:hAnsi="Times New Roman" w:cs="Times New Roman"/>
                <w:sz w:val="24"/>
                <w:szCs w:val="24"/>
              </w:rPr>
            </w:pPr>
            <w:r w:rsidRPr="00317731">
              <w:rPr>
                <w:rFonts w:ascii="Times New Roman" w:hAnsi="Times New Roman" w:cs="Times New Roman"/>
                <w:sz w:val="24"/>
                <w:szCs w:val="24"/>
              </w:rPr>
              <w:t>2141</w:t>
            </w:r>
          </w:p>
        </w:tc>
        <w:tc>
          <w:tcPr>
            <w:tcW w:w="775" w:type="dxa"/>
            <w:vAlign w:val="center"/>
          </w:tcPr>
          <w:p w:rsidR="0020309F" w:rsidRPr="00317731" w:rsidRDefault="0020309F" w:rsidP="00E80C8C">
            <w:pPr>
              <w:widowControl w:val="0"/>
              <w:autoSpaceDE w:val="0"/>
              <w:autoSpaceDN w:val="0"/>
              <w:adjustRightInd w:val="0"/>
              <w:spacing w:after="0"/>
              <w:jc w:val="both"/>
              <w:rPr>
                <w:rFonts w:ascii="Times New Roman" w:hAnsi="Times New Roman" w:cs="Times New Roman"/>
                <w:sz w:val="24"/>
                <w:szCs w:val="24"/>
              </w:rPr>
            </w:pPr>
            <w:r w:rsidRPr="00317731">
              <w:rPr>
                <w:rFonts w:ascii="Times New Roman" w:hAnsi="Times New Roman" w:cs="Times New Roman"/>
                <w:sz w:val="24"/>
                <w:szCs w:val="24"/>
              </w:rPr>
              <w:t>2351</w:t>
            </w:r>
          </w:p>
        </w:tc>
        <w:tc>
          <w:tcPr>
            <w:tcW w:w="775" w:type="dxa"/>
            <w:vAlign w:val="center"/>
          </w:tcPr>
          <w:p w:rsidR="0020309F" w:rsidRPr="00317731" w:rsidRDefault="0020309F" w:rsidP="00E80C8C">
            <w:pPr>
              <w:widowControl w:val="0"/>
              <w:autoSpaceDE w:val="0"/>
              <w:autoSpaceDN w:val="0"/>
              <w:adjustRightInd w:val="0"/>
              <w:spacing w:after="0"/>
              <w:jc w:val="both"/>
              <w:rPr>
                <w:rFonts w:ascii="Times New Roman" w:hAnsi="Times New Roman" w:cs="Times New Roman"/>
                <w:sz w:val="24"/>
                <w:szCs w:val="24"/>
              </w:rPr>
            </w:pPr>
            <w:r w:rsidRPr="00317731">
              <w:rPr>
                <w:rFonts w:ascii="Times New Roman" w:hAnsi="Times New Roman" w:cs="Times New Roman"/>
                <w:sz w:val="24"/>
                <w:szCs w:val="24"/>
              </w:rPr>
              <w:t>2506</w:t>
            </w:r>
          </w:p>
        </w:tc>
      </w:tr>
    </w:tbl>
    <w:p w:rsidR="0020309F" w:rsidRPr="00317731" w:rsidRDefault="0020309F" w:rsidP="0020309F">
      <w:pPr>
        <w:widowControl w:val="0"/>
        <w:autoSpaceDE w:val="0"/>
        <w:autoSpaceDN w:val="0"/>
        <w:adjustRightInd w:val="0"/>
        <w:spacing w:after="0"/>
        <w:jc w:val="both"/>
      </w:pPr>
    </w:p>
    <w:p w:rsidR="0020309F" w:rsidRPr="00317731" w:rsidRDefault="0020309F" w:rsidP="0020309F">
      <w:pPr>
        <w:jc w:val="both"/>
        <w:rPr>
          <w:rFonts w:ascii="Times New Roman" w:hAnsi="Times New Roman" w:cs="Times New Roman"/>
          <w:b/>
          <w:bCs/>
          <w:sz w:val="28"/>
          <w:szCs w:val="28"/>
        </w:rPr>
      </w:pPr>
      <w:r>
        <w:rPr>
          <w:noProof/>
          <w:lang w:eastAsia="ru-RU"/>
        </w:rPr>
        <w:lastRenderedPageBreak/>
        <w:drawing>
          <wp:inline distT="0" distB="0" distL="0" distR="0">
            <wp:extent cx="5772150" cy="3933825"/>
            <wp:effectExtent l="0" t="0" r="0" b="9525"/>
            <wp:docPr id="4"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1"/>
                    <pic:cNvPicPr>
                      <a:picLocks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72150" cy="3933825"/>
                    </a:xfrm>
                    <a:prstGeom prst="rect">
                      <a:avLst/>
                    </a:prstGeom>
                    <a:noFill/>
                    <a:ln>
                      <a:noFill/>
                    </a:ln>
                  </pic:spPr>
                </pic:pic>
              </a:graphicData>
            </a:graphic>
          </wp:inline>
        </w:drawing>
      </w:r>
    </w:p>
    <w:p w:rsidR="0020309F" w:rsidRPr="00317731" w:rsidRDefault="0020309F" w:rsidP="0020309F">
      <w:pPr>
        <w:jc w:val="both"/>
        <w:rPr>
          <w:rFonts w:ascii="Times New Roman" w:hAnsi="Times New Roman" w:cs="Times New Roman"/>
          <w:sz w:val="28"/>
          <w:szCs w:val="28"/>
        </w:rPr>
      </w:pPr>
      <w:r w:rsidRPr="00317731">
        <w:rPr>
          <w:rFonts w:ascii="Times New Roman" w:hAnsi="Times New Roman" w:cs="Times New Roman"/>
          <w:sz w:val="28"/>
          <w:szCs w:val="28"/>
        </w:rPr>
        <w:t xml:space="preserve">Водоснабжение и </w:t>
      </w:r>
      <w:proofErr w:type="spellStart"/>
      <w:proofErr w:type="gramStart"/>
      <w:r w:rsidRPr="00317731">
        <w:rPr>
          <w:rFonts w:ascii="Times New Roman" w:hAnsi="Times New Roman" w:cs="Times New Roman"/>
          <w:sz w:val="28"/>
          <w:szCs w:val="28"/>
        </w:rPr>
        <w:t>водоотведение</w:t>
      </w:r>
      <w:r>
        <w:rPr>
          <w:rFonts w:ascii="Times New Roman" w:hAnsi="Times New Roman" w:cs="Times New Roman"/>
          <w:sz w:val="28"/>
          <w:szCs w:val="28"/>
        </w:rPr>
        <w:t>:</w:t>
      </w:r>
      <w:r w:rsidRPr="00317731">
        <w:rPr>
          <w:rFonts w:ascii="Times New Roman" w:hAnsi="Times New Roman" w:cs="Times New Roman"/>
          <w:sz w:val="28"/>
          <w:szCs w:val="28"/>
        </w:rPr>
        <w:t>В</w:t>
      </w:r>
      <w:proofErr w:type="spellEnd"/>
      <w:proofErr w:type="gramEnd"/>
      <w:r w:rsidRPr="00317731">
        <w:rPr>
          <w:rFonts w:ascii="Times New Roman" w:hAnsi="Times New Roman" w:cs="Times New Roman"/>
          <w:sz w:val="28"/>
          <w:szCs w:val="28"/>
        </w:rPr>
        <w:t xml:space="preserve"> настоящее время основным источником питьевой воды в автономном округе являются подземные воды, их доля в общем объеме подъема воды составляет 75%, остальные 25% приходятся на поверхностные воды.</w:t>
      </w:r>
    </w:p>
    <w:p w:rsidR="0020309F" w:rsidRPr="00317731" w:rsidRDefault="0020309F" w:rsidP="0020309F">
      <w:pPr>
        <w:ind w:firstLine="720"/>
        <w:jc w:val="both"/>
        <w:rPr>
          <w:rFonts w:ascii="Times New Roman" w:hAnsi="Times New Roman" w:cs="Times New Roman"/>
          <w:sz w:val="28"/>
          <w:szCs w:val="28"/>
        </w:rPr>
      </w:pPr>
      <w:r w:rsidRPr="00317731">
        <w:rPr>
          <w:rFonts w:ascii="Times New Roman" w:hAnsi="Times New Roman" w:cs="Times New Roman"/>
          <w:sz w:val="28"/>
          <w:szCs w:val="28"/>
        </w:rPr>
        <w:t xml:space="preserve">Всего с учетом поверхностных источников в округе в 2014 году по предварительным данным добыто 122 275,6 тыс. м3 воды, что ниже показателей 2009 года на 13%. </w:t>
      </w:r>
    </w:p>
    <w:p w:rsidR="0020309F" w:rsidRPr="00317731" w:rsidRDefault="0020309F" w:rsidP="0020309F">
      <w:pPr>
        <w:ind w:firstLine="720"/>
        <w:jc w:val="both"/>
        <w:rPr>
          <w:rFonts w:ascii="Times New Roman" w:hAnsi="Times New Roman" w:cs="Times New Roman"/>
          <w:sz w:val="28"/>
          <w:szCs w:val="28"/>
        </w:rPr>
      </w:pPr>
      <w:r w:rsidRPr="00317731">
        <w:rPr>
          <w:rFonts w:ascii="Times New Roman" w:hAnsi="Times New Roman" w:cs="Times New Roman"/>
          <w:sz w:val="28"/>
          <w:szCs w:val="28"/>
        </w:rPr>
        <w:t xml:space="preserve">Ежегодное снижению показателей добычи питьевой воды связано с улучшением качества воды у потребителей, рациональным и бережным использованием воды населением и производственными предприятиями, а </w:t>
      </w:r>
      <w:proofErr w:type="gramStart"/>
      <w:r w:rsidRPr="00317731">
        <w:rPr>
          <w:rFonts w:ascii="Times New Roman" w:hAnsi="Times New Roman" w:cs="Times New Roman"/>
          <w:sz w:val="28"/>
          <w:szCs w:val="28"/>
        </w:rPr>
        <w:t>так же</w:t>
      </w:r>
      <w:proofErr w:type="gramEnd"/>
      <w:r w:rsidRPr="00317731">
        <w:rPr>
          <w:rFonts w:ascii="Times New Roman" w:hAnsi="Times New Roman" w:cs="Times New Roman"/>
          <w:sz w:val="28"/>
          <w:szCs w:val="28"/>
        </w:rPr>
        <w:t xml:space="preserve"> с контролем и учетной политикой и увеличением стоимости услуги водоснабжения. При этом в округе наблюдается стабильный естественный рост населения, в городах и поселках автономного округа ведется строительство и ввод в эксплуатацию благоустроенного жилья.</w:t>
      </w:r>
    </w:p>
    <w:p w:rsidR="0020309F" w:rsidRPr="00317731" w:rsidRDefault="0020309F" w:rsidP="0020309F">
      <w:pPr>
        <w:ind w:firstLine="720"/>
        <w:jc w:val="both"/>
        <w:rPr>
          <w:rFonts w:ascii="Times New Roman" w:hAnsi="Times New Roman" w:cs="Times New Roman"/>
          <w:sz w:val="28"/>
          <w:szCs w:val="28"/>
        </w:rPr>
      </w:pPr>
      <w:r w:rsidRPr="00317731">
        <w:rPr>
          <w:rFonts w:ascii="Times New Roman" w:hAnsi="Times New Roman" w:cs="Times New Roman"/>
          <w:sz w:val="28"/>
          <w:szCs w:val="28"/>
        </w:rPr>
        <w:t xml:space="preserve">Исходная вода источников водоснабжения Ханты-Мансийского автономного округа – Югры характеризуется высоким содержанием аммиака, метана, железа, марганца и повышенным показателем цветности. </w:t>
      </w:r>
    </w:p>
    <w:p w:rsidR="0020309F" w:rsidRPr="00317731" w:rsidRDefault="0020309F" w:rsidP="0020309F">
      <w:pPr>
        <w:ind w:firstLine="720"/>
        <w:jc w:val="both"/>
        <w:rPr>
          <w:rFonts w:ascii="Times New Roman" w:hAnsi="Times New Roman" w:cs="Times New Roman"/>
          <w:sz w:val="28"/>
          <w:szCs w:val="28"/>
        </w:rPr>
      </w:pPr>
      <w:r w:rsidRPr="00317731">
        <w:rPr>
          <w:rFonts w:ascii="Times New Roman" w:hAnsi="Times New Roman" w:cs="Times New Roman"/>
          <w:sz w:val="28"/>
          <w:szCs w:val="28"/>
        </w:rPr>
        <w:t>В 2014 году 85% добываемой воды прошло очистку на станциях водоподготовки. Из общего объема воды, пропущенной через очистные сооружения, нормативно очищенная составляет 93,4%.</w:t>
      </w:r>
    </w:p>
    <w:p w:rsidR="0020309F" w:rsidRPr="00317731" w:rsidRDefault="0020309F" w:rsidP="0020309F">
      <w:pPr>
        <w:ind w:firstLine="720"/>
        <w:jc w:val="both"/>
        <w:rPr>
          <w:rFonts w:ascii="Times New Roman" w:hAnsi="Times New Roman" w:cs="Times New Roman"/>
          <w:sz w:val="28"/>
          <w:szCs w:val="28"/>
        </w:rPr>
      </w:pPr>
      <w:r w:rsidRPr="00317731">
        <w:rPr>
          <w:rFonts w:ascii="Times New Roman" w:hAnsi="Times New Roman" w:cs="Times New Roman"/>
          <w:sz w:val="28"/>
          <w:szCs w:val="28"/>
        </w:rPr>
        <w:lastRenderedPageBreak/>
        <w:t xml:space="preserve">По данным муниципальных образований на 01.01.15 количество водоочистных сооружений в округе составляет </w:t>
      </w:r>
      <w:r w:rsidRPr="00317731">
        <w:rPr>
          <w:rFonts w:ascii="Times New Roman" w:hAnsi="Times New Roman" w:cs="Times New Roman"/>
          <w:b/>
          <w:bCs/>
          <w:sz w:val="28"/>
          <w:szCs w:val="28"/>
        </w:rPr>
        <w:t>117</w:t>
      </w:r>
      <w:r w:rsidRPr="00317731">
        <w:rPr>
          <w:rFonts w:ascii="Times New Roman" w:hAnsi="Times New Roman" w:cs="Times New Roman"/>
          <w:sz w:val="28"/>
          <w:szCs w:val="28"/>
        </w:rPr>
        <w:t xml:space="preserve"> единиц суммарной производительностью </w:t>
      </w:r>
      <w:r w:rsidRPr="00317731">
        <w:rPr>
          <w:rFonts w:ascii="Times New Roman" w:hAnsi="Times New Roman" w:cs="Times New Roman"/>
          <w:b/>
          <w:bCs/>
          <w:sz w:val="28"/>
          <w:szCs w:val="28"/>
        </w:rPr>
        <w:t>632,9 тыс.м</w:t>
      </w:r>
      <w:r w:rsidRPr="00317731">
        <w:rPr>
          <w:rFonts w:ascii="Times New Roman" w:hAnsi="Times New Roman" w:cs="Times New Roman"/>
          <w:b/>
          <w:bCs/>
          <w:sz w:val="28"/>
          <w:szCs w:val="28"/>
          <w:vertAlign w:val="superscript"/>
        </w:rPr>
        <w:t>3</w:t>
      </w:r>
      <w:r w:rsidRPr="00317731">
        <w:rPr>
          <w:rFonts w:ascii="Times New Roman" w:hAnsi="Times New Roman" w:cs="Times New Roman"/>
          <w:b/>
          <w:bCs/>
          <w:sz w:val="28"/>
          <w:szCs w:val="28"/>
        </w:rPr>
        <w:t>/сутки,</w:t>
      </w:r>
      <w:r w:rsidRPr="00317731">
        <w:rPr>
          <w:rFonts w:ascii="Times New Roman" w:hAnsi="Times New Roman" w:cs="Times New Roman"/>
          <w:sz w:val="28"/>
          <w:szCs w:val="28"/>
        </w:rPr>
        <w:t xml:space="preserve"> на 01.01.2010 зафиксировано 115 единиц. В эксплуатацию введены водоочистные сооружения в </w:t>
      </w:r>
      <w:r w:rsidRPr="00317731">
        <w:rPr>
          <w:rFonts w:ascii="Times New Roman" w:hAnsi="Times New Roman" w:cs="Times New Roman"/>
          <w:sz w:val="28"/>
          <w:szCs w:val="28"/>
        </w:rPr>
        <w:br/>
        <w:t xml:space="preserve">г. </w:t>
      </w:r>
      <w:proofErr w:type="spellStart"/>
      <w:r w:rsidRPr="00317731">
        <w:rPr>
          <w:rFonts w:ascii="Times New Roman" w:hAnsi="Times New Roman" w:cs="Times New Roman"/>
          <w:sz w:val="28"/>
          <w:szCs w:val="28"/>
        </w:rPr>
        <w:t>Нягань</w:t>
      </w:r>
      <w:proofErr w:type="spellEnd"/>
      <w:r w:rsidRPr="00317731">
        <w:rPr>
          <w:rFonts w:ascii="Times New Roman" w:hAnsi="Times New Roman" w:cs="Times New Roman"/>
          <w:sz w:val="28"/>
          <w:szCs w:val="28"/>
        </w:rPr>
        <w:t xml:space="preserve"> и </w:t>
      </w:r>
      <w:proofErr w:type="spellStart"/>
      <w:r w:rsidRPr="00317731">
        <w:rPr>
          <w:rFonts w:ascii="Times New Roman" w:hAnsi="Times New Roman" w:cs="Times New Roman"/>
          <w:sz w:val="28"/>
          <w:szCs w:val="28"/>
        </w:rPr>
        <w:t>пгт</w:t>
      </w:r>
      <w:proofErr w:type="spellEnd"/>
      <w:r w:rsidRPr="00317731">
        <w:rPr>
          <w:rFonts w:ascii="Times New Roman" w:hAnsi="Times New Roman" w:cs="Times New Roman"/>
          <w:sz w:val="28"/>
          <w:szCs w:val="28"/>
        </w:rPr>
        <w:t xml:space="preserve">. </w:t>
      </w:r>
      <w:proofErr w:type="spellStart"/>
      <w:r w:rsidRPr="00317731">
        <w:rPr>
          <w:rFonts w:ascii="Times New Roman" w:hAnsi="Times New Roman" w:cs="Times New Roman"/>
          <w:sz w:val="28"/>
          <w:szCs w:val="28"/>
        </w:rPr>
        <w:t>КуминскийКондинского</w:t>
      </w:r>
      <w:proofErr w:type="spellEnd"/>
      <w:r w:rsidRPr="00317731">
        <w:rPr>
          <w:rFonts w:ascii="Times New Roman" w:hAnsi="Times New Roman" w:cs="Times New Roman"/>
          <w:sz w:val="28"/>
          <w:szCs w:val="28"/>
        </w:rPr>
        <w:t xml:space="preserve"> района. </w:t>
      </w:r>
    </w:p>
    <w:p w:rsidR="0020309F" w:rsidRPr="00317731" w:rsidRDefault="0020309F" w:rsidP="0020309F">
      <w:pPr>
        <w:ind w:firstLine="720"/>
        <w:jc w:val="both"/>
        <w:rPr>
          <w:rFonts w:ascii="Times New Roman" w:hAnsi="Times New Roman" w:cs="Times New Roman"/>
          <w:sz w:val="28"/>
          <w:szCs w:val="28"/>
        </w:rPr>
      </w:pPr>
      <w:r w:rsidRPr="00317731">
        <w:rPr>
          <w:rFonts w:ascii="Times New Roman" w:hAnsi="Times New Roman" w:cs="Times New Roman"/>
          <w:sz w:val="28"/>
          <w:szCs w:val="28"/>
        </w:rPr>
        <w:t>Общая протяженность сетей водоснабжения составляет 4222,6 км.</w:t>
      </w:r>
    </w:p>
    <w:p w:rsidR="0020309F" w:rsidRPr="00317731" w:rsidRDefault="0020309F" w:rsidP="0020309F">
      <w:pPr>
        <w:ind w:firstLine="720"/>
        <w:jc w:val="both"/>
        <w:rPr>
          <w:rFonts w:ascii="Times New Roman" w:hAnsi="Times New Roman" w:cs="Times New Roman"/>
          <w:sz w:val="28"/>
          <w:szCs w:val="28"/>
        </w:rPr>
      </w:pPr>
      <w:r w:rsidRPr="00317731">
        <w:rPr>
          <w:rFonts w:ascii="Times New Roman" w:hAnsi="Times New Roman" w:cs="Times New Roman"/>
          <w:sz w:val="28"/>
          <w:szCs w:val="28"/>
        </w:rPr>
        <w:t xml:space="preserve">Уровень обеспеченности населения питьевой водой, отвечающей требованиям СанПиН в округе ежегодно растет и в 2014 году составил 77,5%. – это 1 196,8 тыс. человек, в 2009 году обеспеченность населения качественной питьевой </w:t>
      </w:r>
      <w:proofErr w:type="gramStart"/>
      <w:r w:rsidRPr="00317731">
        <w:rPr>
          <w:rFonts w:ascii="Times New Roman" w:hAnsi="Times New Roman" w:cs="Times New Roman"/>
          <w:sz w:val="28"/>
          <w:szCs w:val="28"/>
        </w:rPr>
        <w:t>водой  составляла</w:t>
      </w:r>
      <w:proofErr w:type="gramEnd"/>
      <w:r w:rsidRPr="00317731">
        <w:rPr>
          <w:rFonts w:ascii="Times New Roman" w:hAnsi="Times New Roman" w:cs="Times New Roman"/>
          <w:sz w:val="28"/>
          <w:szCs w:val="28"/>
        </w:rPr>
        <w:t xml:space="preserve"> 68,3% от общего числа жителей т.е. 1 038,1 тыс. человек. </w:t>
      </w:r>
    </w:p>
    <w:p w:rsidR="0020309F" w:rsidRPr="00317731" w:rsidRDefault="0020309F" w:rsidP="0020309F">
      <w:pPr>
        <w:spacing w:after="0"/>
        <w:ind w:firstLine="708"/>
        <w:jc w:val="both"/>
        <w:rPr>
          <w:rFonts w:ascii="Times New Roman" w:hAnsi="Times New Roman" w:cs="Times New Roman"/>
          <w:sz w:val="28"/>
          <w:szCs w:val="28"/>
          <w:lang w:eastAsia="ru-RU"/>
        </w:rPr>
      </w:pPr>
      <w:r w:rsidRPr="00317731">
        <w:rPr>
          <w:rFonts w:ascii="Times New Roman" w:hAnsi="Times New Roman" w:cs="Times New Roman"/>
          <w:sz w:val="28"/>
          <w:szCs w:val="28"/>
          <w:lang w:eastAsia="ru-RU"/>
        </w:rPr>
        <w:t xml:space="preserve">В городах и посёлках автономного округа насчитывается </w:t>
      </w:r>
      <w:r w:rsidRPr="00317731">
        <w:rPr>
          <w:rFonts w:ascii="Times New Roman" w:hAnsi="Times New Roman" w:cs="Times New Roman"/>
          <w:b/>
          <w:bCs/>
          <w:sz w:val="28"/>
          <w:szCs w:val="28"/>
          <w:lang w:eastAsia="ru-RU"/>
        </w:rPr>
        <w:t>448</w:t>
      </w:r>
      <w:r w:rsidRPr="00317731">
        <w:rPr>
          <w:rFonts w:ascii="Times New Roman" w:hAnsi="Times New Roman" w:cs="Times New Roman"/>
          <w:sz w:val="28"/>
          <w:szCs w:val="28"/>
          <w:lang w:eastAsia="ru-RU"/>
        </w:rPr>
        <w:t xml:space="preserve"> </w:t>
      </w:r>
      <w:proofErr w:type="spellStart"/>
      <w:r w:rsidRPr="00317731">
        <w:rPr>
          <w:rFonts w:ascii="Times New Roman" w:hAnsi="Times New Roman" w:cs="Times New Roman"/>
          <w:sz w:val="28"/>
          <w:szCs w:val="28"/>
          <w:lang w:eastAsia="ru-RU"/>
        </w:rPr>
        <w:t>КНС</w:t>
      </w:r>
      <w:proofErr w:type="spellEnd"/>
      <w:r w:rsidRPr="00317731">
        <w:rPr>
          <w:rFonts w:ascii="Times New Roman" w:hAnsi="Times New Roman" w:cs="Times New Roman"/>
          <w:sz w:val="28"/>
          <w:szCs w:val="28"/>
          <w:lang w:eastAsia="ru-RU"/>
        </w:rPr>
        <w:t xml:space="preserve"> и </w:t>
      </w:r>
      <w:r w:rsidRPr="00317731">
        <w:rPr>
          <w:rFonts w:ascii="Times New Roman" w:hAnsi="Times New Roman" w:cs="Times New Roman"/>
          <w:b/>
          <w:bCs/>
          <w:sz w:val="28"/>
          <w:szCs w:val="28"/>
          <w:lang w:eastAsia="ru-RU"/>
        </w:rPr>
        <w:t>75</w:t>
      </w:r>
      <w:r w:rsidRPr="00317731">
        <w:rPr>
          <w:rFonts w:ascii="Times New Roman" w:hAnsi="Times New Roman" w:cs="Times New Roman"/>
          <w:sz w:val="28"/>
          <w:szCs w:val="28"/>
          <w:lang w:eastAsia="ru-RU"/>
        </w:rPr>
        <w:t xml:space="preserve"> сооружения очистки сточных вод общей производительностью </w:t>
      </w:r>
      <w:r w:rsidRPr="00317731">
        <w:rPr>
          <w:rFonts w:ascii="Times New Roman" w:hAnsi="Times New Roman" w:cs="Times New Roman"/>
          <w:b/>
          <w:bCs/>
          <w:sz w:val="28"/>
          <w:szCs w:val="28"/>
          <w:lang w:eastAsia="ru-RU"/>
        </w:rPr>
        <w:t>502,7</w:t>
      </w:r>
      <w:r w:rsidRPr="00317731">
        <w:rPr>
          <w:rFonts w:ascii="Times New Roman" w:hAnsi="Times New Roman" w:cs="Times New Roman"/>
          <w:sz w:val="28"/>
          <w:szCs w:val="28"/>
          <w:lang w:eastAsia="ru-RU"/>
        </w:rPr>
        <w:t xml:space="preserve"> тыс.м3 в сутки. Общая протяжённость магистральных и внутриквартальных канализационных сетей – </w:t>
      </w:r>
      <w:r w:rsidRPr="00317731">
        <w:rPr>
          <w:rFonts w:ascii="Times New Roman" w:hAnsi="Times New Roman" w:cs="Times New Roman"/>
          <w:b/>
          <w:bCs/>
          <w:sz w:val="28"/>
          <w:szCs w:val="28"/>
          <w:lang w:eastAsia="ru-RU"/>
        </w:rPr>
        <w:t>2944,3</w:t>
      </w:r>
      <w:r w:rsidRPr="00317731">
        <w:rPr>
          <w:rFonts w:ascii="Times New Roman" w:hAnsi="Times New Roman" w:cs="Times New Roman"/>
          <w:sz w:val="28"/>
          <w:szCs w:val="28"/>
          <w:lang w:eastAsia="ru-RU"/>
        </w:rPr>
        <w:t xml:space="preserve"> км, увеличение протяженности сетей по сравнению с 2009 годом составило 7%, износ сетей уменьшился с 51,5% до 50%.</w:t>
      </w:r>
    </w:p>
    <w:p w:rsidR="0020309F" w:rsidRPr="00317731" w:rsidRDefault="0020309F" w:rsidP="0020309F">
      <w:pPr>
        <w:spacing w:after="0"/>
        <w:ind w:firstLine="708"/>
        <w:jc w:val="both"/>
        <w:rPr>
          <w:rFonts w:ascii="Times New Roman" w:hAnsi="Times New Roman" w:cs="Times New Roman"/>
          <w:sz w:val="28"/>
          <w:szCs w:val="28"/>
          <w:lang w:eastAsia="ru-RU"/>
        </w:rPr>
      </w:pPr>
      <w:r w:rsidRPr="00317731">
        <w:rPr>
          <w:rFonts w:ascii="Times New Roman" w:hAnsi="Times New Roman" w:cs="Times New Roman"/>
          <w:sz w:val="28"/>
          <w:szCs w:val="28"/>
          <w:lang w:eastAsia="ru-RU"/>
        </w:rPr>
        <w:t>В 2014 году в водные объекты поступило 101,17 млн. м</w:t>
      </w:r>
      <w:r w:rsidRPr="00317731">
        <w:rPr>
          <w:rFonts w:ascii="Times New Roman" w:hAnsi="Times New Roman" w:cs="Times New Roman"/>
          <w:sz w:val="28"/>
          <w:szCs w:val="28"/>
          <w:vertAlign w:val="superscript"/>
          <w:lang w:eastAsia="ru-RU"/>
        </w:rPr>
        <w:t>3</w:t>
      </w:r>
      <w:r w:rsidRPr="00317731">
        <w:rPr>
          <w:rFonts w:ascii="Times New Roman" w:hAnsi="Times New Roman" w:cs="Times New Roman"/>
          <w:sz w:val="28"/>
          <w:szCs w:val="28"/>
          <w:lang w:eastAsia="ru-RU"/>
        </w:rPr>
        <w:t xml:space="preserve"> сточных вод из централизованной системы водоотведения, из них более 54,2 млн. м</w:t>
      </w:r>
      <w:r w:rsidRPr="00317731">
        <w:rPr>
          <w:rFonts w:ascii="Times New Roman" w:hAnsi="Times New Roman" w:cs="Times New Roman"/>
          <w:sz w:val="28"/>
          <w:szCs w:val="28"/>
          <w:vertAlign w:val="superscript"/>
          <w:lang w:eastAsia="ru-RU"/>
        </w:rPr>
        <w:t>3</w:t>
      </w:r>
      <w:r w:rsidRPr="00317731">
        <w:rPr>
          <w:rFonts w:ascii="Times New Roman" w:hAnsi="Times New Roman" w:cs="Times New Roman"/>
          <w:sz w:val="28"/>
          <w:szCs w:val="28"/>
          <w:lang w:eastAsia="ru-RU"/>
        </w:rPr>
        <w:t xml:space="preserve"> недостаточно очищенные сточные воды, составляют 54 % от общего </w:t>
      </w:r>
      <w:proofErr w:type="gramStart"/>
      <w:r w:rsidRPr="00317731">
        <w:rPr>
          <w:rFonts w:ascii="Times New Roman" w:hAnsi="Times New Roman" w:cs="Times New Roman"/>
          <w:sz w:val="28"/>
          <w:szCs w:val="28"/>
          <w:lang w:eastAsia="ru-RU"/>
        </w:rPr>
        <w:t>поступления  стоков</w:t>
      </w:r>
      <w:proofErr w:type="gramEnd"/>
      <w:r w:rsidRPr="00317731">
        <w:rPr>
          <w:rFonts w:ascii="Times New Roman" w:hAnsi="Times New Roman" w:cs="Times New Roman"/>
          <w:sz w:val="28"/>
          <w:szCs w:val="28"/>
          <w:lang w:eastAsia="ru-RU"/>
        </w:rPr>
        <w:t xml:space="preserve"> в систему водоотведения населенных пунктов.</w:t>
      </w:r>
    </w:p>
    <w:p w:rsidR="0020309F" w:rsidRDefault="0020309F" w:rsidP="0020309F">
      <w:pPr>
        <w:spacing w:after="0"/>
        <w:ind w:firstLine="708"/>
        <w:jc w:val="both"/>
        <w:rPr>
          <w:rFonts w:ascii="Times New Roman" w:hAnsi="Times New Roman" w:cs="Times New Roman"/>
          <w:sz w:val="28"/>
          <w:szCs w:val="28"/>
          <w:lang w:eastAsia="ru-RU"/>
        </w:rPr>
      </w:pPr>
      <w:r w:rsidRPr="00317731">
        <w:rPr>
          <w:rFonts w:ascii="Times New Roman" w:hAnsi="Times New Roman" w:cs="Times New Roman"/>
          <w:sz w:val="28"/>
          <w:szCs w:val="28"/>
          <w:lang w:eastAsia="ru-RU"/>
        </w:rPr>
        <w:t>В 2014 году по сравнению с 2009 годом на 5% снизился показатель приема сточных вод. Проводимая работа по внедрению современных технологий очистки воды, применению преобразователей частотного регулирования на насосном оборудовании, налаживанию учета расходования воды в муниципальных образованиях отразилась, в конечном итоге, на снижении показателя объема сточных вод.</w:t>
      </w:r>
    </w:p>
    <w:p w:rsidR="0020309F" w:rsidRPr="00D521C2" w:rsidRDefault="0020309F" w:rsidP="0020309F">
      <w:pPr>
        <w:spacing w:after="0"/>
        <w:jc w:val="both"/>
        <w:rPr>
          <w:rFonts w:ascii="Times New Roman" w:hAnsi="Times New Roman" w:cs="Times New Roman"/>
          <w:b/>
          <w:bCs/>
          <w:sz w:val="24"/>
          <w:szCs w:val="24"/>
        </w:rPr>
      </w:pPr>
      <w:r w:rsidRPr="00D521C2">
        <w:rPr>
          <w:rFonts w:ascii="Times New Roman" w:hAnsi="Times New Roman" w:cs="Times New Roman"/>
          <w:b/>
          <w:bCs/>
          <w:sz w:val="24"/>
          <w:szCs w:val="24"/>
        </w:rPr>
        <w:t xml:space="preserve">Жилищный фонд Ханты-Мансийского автономного округа – Югры, </w:t>
      </w:r>
      <w:proofErr w:type="spellStart"/>
      <w:r w:rsidRPr="00D521C2">
        <w:rPr>
          <w:rFonts w:ascii="Times New Roman" w:hAnsi="Times New Roman" w:cs="Times New Roman"/>
          <w:b/>
          <w:bCs/>
          <w:sz w:val="24"/>
          <w:szCs w:val="24"/>
        </w:rPr>
        <w:t>тыс.кв.м</w:t>
      </w:r>
      <w:proofErr w:type="spellEnd"/>
      <w:r w:rsidRPr="00D521C2">
        <w:rPr>
          <w:rFonts w:ascii="Times New Roman" w:hAnsi="Times New Roman" w:cs="Times New Roman"/>
          <w:b/>
          <w:bCs/>
          <w:sz w:val="24"/>
          <w:szCs w:val="24"/>
        </w:rPr>
        <w:t>.</w:t>
      </w:r>
    </w:p>
    <w:tbl>
      <w:tblPr>
        <w:tblW w:w="91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27"/>
        <w:gridCol w:w="1552"/>
        <w:gridCol w:w="1705"/>
        <w:gridCol w:w="1782"/>
      </w:tblGrid>
      <w:tr w:rsidR="0020309F" w:rsidRPr="001602B1" w:rsidTr="00E80C8C">
        <w:trPr>
          <w:jc w:val="center"/>
        </w:trPr>
        <w:tc>
          <w:tcPr>
            <w:tcW w:w="4127" w:type="dxa"/>
            <w:vAlign w:val="center"/>
          </w:tcPr>
          <w:p w:rsidR="0020309F" w:rsidRPr="001602B1" w:rsidRDefault="0020309F" w:rsidP="00E80C8C">
            <w:pPr>
              <w:spacing w:after="0"/>
              <w:jc w:val="both"/>
              <w:rPr>
                <w:rFonts w:ascii="Times New Roman" w:hAnsi="Times New Roman" w:cs="Times New Roman"/>
                <w:sz w:val="24"/>
                <w:szCs w:val="24"/>
              </w:rPr>
            </w:pPr>
            <w:r w:rsidRPr="001602B1">
              <w:rPr>
                <w:rFonts w:ascii="Times New Roman" w:hAnsi="Times New Roman" w:cs="Times New Roman"/>
                <w:sz w:val="24"/>
                <w:szCs w:val="24"/>
              </w:rPr>
              <w:t>Показатели</w:t>
            </w:r>
          </w:p>
        </w:tc>
        <w:tc>
          <w:tcPr>
            <w:tcW w:w="1552" w:type="dxa"/>
            <w:vAlign w:val="center"/>
          </w:tcPr>
          <w:p w:rsidR="0020309F" w:rsidRPr="001602B1" w:rsidRDefault="0020309F" w:rsidP="00E80C8C">
            <w:pPr>
              <w:spacing w:after="0"/>
              <w:jc w:val="both"/>
              <w:rPr>
                <w:rFonts w:ascii="Times New Roman" w:hAnsi="Times New Roman" w:cs="Times New Roman"/>
                <w:sz w:val="24"/>
                <w:szCs w:val="24"/>
              </w:rPr>
            </w:pPr>
            <w:r w:rsidRPr="001602B1">
              <w:rPr>
                <w:rFonts w:ascii="Times New Roman" w:hAnsi="Times New Roman" w:cs="Times New Roman"/>
                <w:sz w:val="24"/>
                <w:szCs w:val="24"/>
              </w:rPr>
              <w:t>2009 год</w:t>
            </w:r>
          </w:p>
        </w:tc>
        <w:tc>
          <w:tcPr>
            <w:tcW w:w="1705" w:type="dxa"/>
            <w:vAlign w:val="center"/>
          </w:tcPr>
          <w:p w:rsidR="0020309F" w:rsidRPr="001602B1" w:rsidRDefault="0020309F" w:rsidP="00E80C8C">
            <w:pPr>
              <w:spacing w:after="0"/>
              <w:jc w:val="both"/>
              <w:rPr>
                <w:rFonts w:ascii="Times New Roman" w:hAnsi="Times New Roman" w:cs="Times New Roman"/>
                <w:sz w:val="24"/>
                <w:szCs w:val="24"/>
              </w:rPr>
            </w:pPr>
            <w:r w:rsidRPr="001602B1">
              <w:rPr>
                <w:rFonts w:ascii="Times New Roman" w:hAnsi="Times New Roman" w:cs="Times New Roman"/>
                <w:sz w:val="24"/>
                <w:szCs w:val="24"/>
              </w:rPr>
              <w:t>2013 год</w:t>
            </w:r>
          </w:p>
        </w:tc>
        <w:tc>
          <w:tcPr>
            <w:tcW w:w="1782" w:type="dxa"/>
            <w:vAlign w:val="center"/>
          </w:tcPr>
          <w:p w:rsidR="0020309F" w:rsidRPr="001602B1" w:rsidRDefault="0020309F" w:rsidP="00E80C8C">
            <w:pPr>
              <w:spacing w:after="0"/>
              <w:jc w:val="both"/>
              <w:rPr>
                <w:rFonts w:ascii="Times New Roman" w:hAnsi="Times New Roman" w:cs="Times New Roman"/>
                <w:sz w:val="24"/>
                <w:szCs w:val="24"/>
              </w:rPr>
            </w:pPr>
            <w:r w:rsidRPr="001602B1">
              <w:rPr>
                <w:rFonts w:ascii="Times New Roman" w:hAnsi="Times New Roman" w:cs="Times New Roman"/>
                <w:sz w:val="24"/>
                <w:szCs w:val="24"/>
              </w:rPr>
              <w:t>2014 год</w:t>
            </w:r>
          </w:p>
          <w:p w:rsidR="0020309F" w:rsidRPr="001602B1" w:rsidRDefault="0020309F" w:rsidP="00E80C8C">
            <w:pPr>
              <w:spacing w:after="0"/>
              <w:jc w:val="both"/>
              <w:rPr>
                <w:rFonts w:ascii="Times New Roman" w:hAnsi="Times New Roman" w:cs="Times New Roman"/>
                <w:sz w:val="24"/>
                <w:szCs w:val="24"/>
              </w:rPr>
            </w:pPr>
            <w:r w:rsidRPr="001602B1">
              <w:rPr>
                <w:rFonts w:ascii="Times New Roman" w:hAnsi="Times New Roman" w:cs="Times New Roman"/>
                <w:sz w:val="24"/>
                <w:szCs w:val="24"/>
              </w:rPr>
              <w:t>(прогноз)</w:t>
            </w:r>
          </w:p>
        </w:tc>
      </w:tr>
      <w:tr w:rsidR="0020309F" w:rsidRPr="001602B1" w:rsidTr="00E80C8C">
        <w:trPr>
          <w:trHeight w:val="416"/>
          <w:jc w:val="center"/>
        </w:trPr>
        <w:tc>
          <w:tcPr>
            <w:tcW w:w="4127" w:type="dxa"/>
            <w:vAlign w:val="center"/>
          </w:tcPr>
          <w:p w:rsidR="0020309F" w:rsidRPr="001602B1" w:rsidRDefault="0020309F" w:rsidP="00E80C8C">
            <w:pPr>
              <w:spacing w:after="0"/>
              <w:jc w:val="both"/>
              <w:rPr>
                <w:rFonts w:ascii="Times New Roman" w:hAnsi="Times New Roman" w:cs="Times New Roman"/>
                <w:sz w:val="24"/>
                <w:szCs w:val="24"/>
              </w:rPr>
            </w:pPr>
            <w:r w:rsidRPr="001602B1">
              <w:rPr>
                <w:rFonts w:ascii="Times New Roman" w:hAnsi="Times New Roman" w:cs="Times New Roman"/>
                <w:sz w:val="24"/>
                <w:szCs w:val="24"/>
              </w:rPr>
              <w:t>Общая площадь жилфонда</w:t>
            </w:r>
          </w:p>
        </w:tc>
        <w:tc>
          <w:tcPr>
            <w:tcW w:w="1552" w:type="dxa"/>
            <w:vAlign w:val="center"/>
          </w:tcPr>
          <w:p w:rsidR="0020309F" w:rsidRPr="001602B1" w:rsidRDefault="0020309F" w:rsidP="00E80C8C">
            <w:pPr>
              <w:spacing w:after="0"/>
              <w:jc w:val="both"/>
              <w:rPr>
                <w:rFonts w:ascii="Times New Roman" w:hAnsi="Times New Roman" w:cs="Times New Roman"/>
                <w:sz w:val="24"/>
                <w:szCs w:val="24"/>
              </w:rPr>
            </w:pPr>
            <w:r w:rsidRPr="001602B1">
              <w:rPr>
                <w:rFonts w:ascii="Times New Roman" w:hAnsi="Times New Roman" w:cs="Times New Roman"/>
                <w:sz w:val="24"/>
                <w:szCs w:val="24"/>
              </w:rPr>
              <w:t>28 517,5</w:t>
            </w:r>
          </w:p>
        </w:tc>
        <w:tc>
          <w:tcPr>
            <w:tcW w:w="1705" w:type="dxa"/>
            <w:vAlign w:val="center"/>
          </w:tcPr>
          <w:p w:rsidR="0020309F" w:rsidRPr="001602B1" w:rsidRDefault="0020309F" w:rsidP="00E80C8C">
            <w:pPr>
              <w:spacing w:after="0"/>
              <w:jc w:val="both"/>
              <w:rPr>
                <w:rFonts w:ascii="Times New Roman" w:hAnsi="Times New Roman" w:cs="Times New Roman"/>
                <w:sz w:val="24"/>
                <w:szCs w:val="24"/>
              </w:rPr>
            </w:pPr>
            <w:r w:rsidRPr="001602B1">
              <w:rPr>
                <w:rFonts w:ascii="Times New Roman" w:hAnsi="Times New Roman" w:cs="Times New Roman"/>
                <w:sz w:val="24"/>
                <w:szCs w:val="24"/>
              </w:rPr>
              <w:t>31 129,1</w:t>
            </w:r>
          </w:p>
        </w:tc>
        <w:tc>
          <w:tcPr>
            <w:tcW w:w="1782" w:type="dxa"/>
            <w:vAlign w:val="center"/>
          </w:tcPr>
          <w:p w:rsidR="0020309F" w:rsidRPr="001602B1" w:rsidRDefault="0020309F" w:rsidP="00E80C8C">
            <w:pPr>
              <w:spacing w:after="0"/>
              <w:jc w:val="both"/>
              <w:rPr>
                <w:rFonts w:ascii="Times New Roman" w:hAnsi="Times New Roman" w:cs="Times New Roman"/>
                <w:sz w:val="24"/>
                <w:szCs w:val="24"/>
              </w:rPr>
            </w:pPr>
            <w:r w:rsidRPr="001602B1">
              <w:rPr>
                <w:rFonts w:ascii="Times New Roman" w:hAnsi="Times New Roman" w:cs="Times New Roman"/>
                <w:sz w:val="24"/>
                <w:szCs w:val="24"/>
              </w:rPr>
              <w:t>31 889,2</w:t>
            </w:r>
          </w:p>
        </w:tc>
      </w:tr>
      <w:tr w:rsidR="0020309F" w:rsidRPr="001602B1" w:rsidTr="00E80C8C">
        <w:trPr>
          <w:trHeight w:val="405"/>
          <w:jc w:val="center"/>
        </w:trPr>
        <w:tc>
          <w:tcPr>
            <w:tcW w:w="4127" w:type="dxa"/>
            <w:vAlign w:val="center"/>
          </w:tcPr>
          <w:p w:rsidR="0020309F" w:rsidRPr="001602B1" w:rsidRDefault="0020309F" w:rsidP="00E80C8C">
            <w:pPr>
              <w:spacing w:after="0"/>
              <w:jc w:val="both"/>
              <w:rPr>
                <w:rFonts w:ascii="Times New Roman" w:hAnsi="Times New Roman" w:cs="Times New Roman"/>
                <w:sz w:val="24"/>
                <w:szCs w:val="24"/>
              </w:rPr>
            </w:pPr>
            <w:r w:rsidRPr="001602B1">
              <w:rPr>
                <w:rFonts w:ascii="Times New Roman" w:hAnsi="Times New Roman" w:cs="Times New Roman"/>
                <w:sz w:val="24"/>
                <w:szCs w:val="24"/>
              </w:rPr>
              <w:t>Площадь ветхого жилфонда</w:t>
            </w:r>
          </w:p>
        </w:tc>
        <w:tc>
          <w:tcPr>
            <w:tcW w:w="1552" w:type="dxa"/>
            <w:vAlign w:val="center"/>
          </w:tcPr>
          <w:p w:rsidR="0020309F" w:rsidRPr="001602B1" w:rsidRDefault="0020309F" w:rsidP="00E80C8C">
            <w:pPr>
              <w:spacing w:after="0"/>
              <w:jc w:val="both"/>
              <w:rPr>
                <w:rFonts w:ascii="Times New Roman" w:hAnsi="Times New Roman" w:cs="Times New Roman"/>
                <w:sz w:val="24"/>
                <w:szCs w:val="24"/>
              </w:rPr>
            </w:pPr>
            <w:r w:rsidRPr="001602B1">
              <w:rPr>
                <w:rFonts w:ascii="Times New Roman" w:hAnsi="Times New Roman" w:cs="Times New Roman"/>
                <w:sz w:val="24"/>
                <w:szCs w:val="24"/>
              </w:rPr>
              <w:t>1 835,5</w:t>
            </w:r>
          </w:p>
        </w:tc>
        <w:tc>
          <w:tcPr>
            <w:tcW w:w="1705" w:type="dxa"/>
            <w:vAlign w:val="center"/>
          </w:tcPr>
          <w:p w:rsidR="0020309F" w:rsidRPr="001602B1" w:rsidRDefault="0020309F" w:rsidP="00E80C8C">
            <w:pPr>
              <w:spacing w:after="0"/>
              <w:jc w:val="both"/>
              <w:rPr>
                <w:rFonts w:ascii="Times New Roman" w:hAnsi="Times New Roman" w:cs="Times New Roman"/>
                <w:sz w:val="24"/>
                <w:szCs w:val="24"/>
              </w:rPr>
            </w:pPr>
            <w:r w:rsidRPr="001602B1">
              <w:rPr>
                <w:rFonts w:ascii="Times New Roman" w:hAnsi="Times New Roman" w:cs="Times New Roman"/>
                <w:sz w:val="24"/>
                <w:szCs w:val="24"/>
              </w:rPr>
              <w:t>1 626,5</w:t>
            </w:r>
          </w:p>
        </w:tc>
        <w:tc>
          <w:tcPr>
            <w:tcW w:w="1782" w:type="dxa"/>
            <w:vAlign w:val="center"/>
          </w:tcPr>
          <w:p w:rsidR="0020309F" w:rsidRPr="001602B1" w:rsidRDefault="0020309F" w:rsidP="00E80C8C">
            <w:pPr>
              <w:spacing w:after="0"/>
              <w:jc w:val="both"/>
              <w:rPr>
                <w:rFonts w:ascii="Times New Roman" w:hAnsi="Times New Roman" w:cs="Times New Roman"/>
                <w:sz w:val="24"/>
                <w:szCs w:val="24"/>
              </w:rPr>
            </w:pPr>
            <w:r w:rsidRPr="001602B1">
              <w:rPr>
                <w:rFonts w:ascii="Times New Roman" w:hAnsi="Times New Roman" w:cs="Times New Roman"/>
                <w:sz w:val="24"/>
                <w:szCs w:val="24"/>
              </w:rPr>
              <w:t>1 501,2</w:t>
            </w:r>
          </w:p>
        </w:tc>
      </w:tr>
      <w:tr w:rsidR="0020309F" w:rsidRPr="001602B1" w:rsidTr="00E80C8C">
        <w:trPr>
          <w:trHeight w:val="410"/>
          <w:jc w:val="center"/>
        </w:trPr>
        <w:tc>
          <w:tcPr>
            <w:tcW w:w="4127" w:type="dxa"/>
            <w:vAlign w:val="center"/>
          </w:tcPr>
          <w:p w:rsidR="0020309F" w:rsidRPr="001602B1" w:rsidRDefault="0020309F" w:rsidP="00E80C8C">
            <w:pPr>
              <w:spacing w:after="0"/>
              <w:jc w:val="both"/>
              <w:rPr>
                <w:rFonts w:ascii="Times New Roman" w:hAnsi="Times New Roman" w:cs="Times New Roman"/>
                <w:sz w:val="24"/>
                <w:szCs w:val="24"/>
              </w:rPr>
            </w:pPr>
            <w:r w:rsidRPr="001602B1">
              <w:rPr>
                <w:rFonts w:ascii="Times New Roman" w:hAnsi="Times New Roman" w:cs="Times New Roman"/>
                <w:sz w:val="24"/>
                <w:szCs w:val="24"/>
              </w:rPr>
              <w:t>Площадь аварийного жилфонда</w:t>
            </w:r>
          </w:p>
        </w:tc>
        <w:tc>
          <w:tcPr>
            <w:tcW w:w="1552" w:type="dxa"/>
            <w:vAlign w:val="center"/>
          </w:tcPr>
          <w:p w:rsidR="0020309F" w:rsidRPr="001602B1" w:rsidRDefault="0020309F" w:rsidP="00E80C8C">
            <w:pPr>
              <w:spacing w:after="0"/>
              <w:jc w:val="both"/>
              <w:rPr>
                <w:rFonts w:ascii="Times New Roman" w:hAnsi="Times New Roman" w:cs="Times New Roman"/>
                <w:sz w:val="24"/>
                <w:szCs w:val="24"/>
              </w:rPr>
            </w:pPr>
            <w:r w:rsidRPr="001602B1">
              <w:rPr>
                <w:rFonts w:ascii="Times New Roman" w:hAnsi="Times New Roman" w:cs="Times New Roman"/>
                <w:sz w:val="24"/>
                <w:szCs w:val="24"/>
              </w:rPr>
              <w:t>114,8</w:t>
            </w:r>
          </w:p>
        </w:tc>
        <w:tc>
          <w:tcPr>
            <w:tcW w:w="1705" w:type="dxa"/>
            <w:vAlign w:val="center"/>
          </w:tcPr>
          <w:p w:rsidR="0020309F" w:rsidRPr="001602B1" w:rsidRDefault="0020309F" w:rsidP="00E80C8C">
            <w:pPr>
              <w:spacing w:after="0"/>
              <w:jc w:val="both"/>
              <w:rPr>
                <w:rFonts w:ascii="Times New Roman" w:hAnsi="Times New Roman" w:cs="Times New Roman"/>
                <w:sz w:val="24"/>
                <w:szCs w:val="24"/>
              </w:rPr>
            </w:pPr>
            <w:r w:rsidRPr="001602B1">
              <w:rPr>
                <w:rFonts w:ascii="Times New Roman" w:hAnsi="Times New Roman" w:cs="Times New Roman"/>
                <w:sz w:val="24"/>
                <w:szCs w:val="24"/>
              </w:rPr>
              <w:t>379,4</w:t>
            </w:r>
          </w:p>
        </w:tc>
        <w:tc>
          <w:tcPr>
            <w:tcW w:w="1782" w:type="dxa"/>
            <w:vAlign w:val="center"/>
          </w:tcPr>
          <w:p w:rsidR="0020309F" w:rsidRPr="001602B1" w:rsidRDefault="0020309F" w:rsidP="00E80C8C">
            <w:pPr>
              <w:spacing w:after="0"/>
              <w:jc w:val="both"/>
              <w:rPr>
                <w:rFonts w:ascii="Times New Roman" w:hAnsi="Times New Roman" w:cs="Times New Roman"/>
                <w:sz w:val="24"/>
                <w:szCs w:val="24"/>
              </w:rPr>
            </w:pPr>
            <w:r w:rsidRPr="001602B1">
              <w:rPr>
                <w:rFonts w:ascii="Times New Roman" w:hAnsi="Times New Roman" w:cs="Times New Roman"/>
                <w:sz w:val="24"/>
                <w:szCs w:val="24"/>
              </w:rPr>
              <w:t>354,7</w:t>
            </w:r>
          </w:p>
        </w:tc>
      </w:tr>
    </w:tbl>
    <w:p w:rsidR="0020309F" w:rsidRPr="00D7073E" w:rsidRDefault="0020309F" w:rsidP="0020309F">
      <w:pPr>
        <w:spacing w:after="0"/>
        <w:jc w:val="both"/>
        <w:rPr>
          <w:rFonts w:ascii="Times New Roman" w:hAnsi="Times New Roman" w:cs="Times New Roman"/>
          <w:b/>
          <w:bCs/>
          <w:i/>
          <w:iCs/>
          <w:sz w:val="24"/>
          <w:szCs w:val="24"/>
        </w:rPr>
      </w:pPr>
      <w:r w:rsidRPr="00361E63">
        <w:rPr>
          <w:rFonts w:ascii="Times New Roman" w:hAnsi="Times New Roman" w:cs="Times New Roman"/>
          <w:b/>
          <w:bCs/>
          <w:i/>
          <w:iCs/>
        </w:rPr>
        <w:t xml:space="preserve">данные в соответствии со </w:t>
      </w:r>
      <w:proofErr w:type="spellStart"/>
      <w:r w:rsidRPr="00361E63">
        <w:rPr>
          <w:rFonts w:ascii="Times New Roman" w:hAnsi="Times New Roman" w:cs="Times New Roman"/>
          <w:b/>
          <w:bCs/>
          <w:i/>
          <w:iCs/>
        </w:rPr>
        <w:t>стат</w:t>
      </w:r>
      <w:proofErr w:type="spellEnd"/>
      <w:r w:rsidRPr="00361E63">
        <w:rPr>
          <w:rFonts w:ascii="Times New Roman" w:hAnsi="Times New Roman" w:cs="Times New Roman"/>
          <w:b/>
          <w:bCs/>
          <w:i/>
          <w:iCs/>
        </w:rPr>
        <w:t>-формой 1-Жилфонд</w:t>
      </w:r>
    </w:p>
    <w:p w:rsidR="0020309F" w:rsidRPr="0030492C" w:rsidRDefault="0020309F" w:rsidP="0020309F">
      <w:pPr>
        <w:spacing w:after="0"/>
        <w:ind w:firstLine="708"/>
        <w:jc w:val="both"/>
        <w:rPr>
          <w:rFonts w:ascii="Times New Roman" w:hAnsi="Times New Roman" w:cs="Times New Roman"/>
          <w:sz w:val="28"/>
          <w:szCs w:val="28"/>
        </w:rPr>
      </w:pPr>
      <w:r w:rsidRPr="0030492C">
        <w:rPr>
          <w:rFonts w:ascii="Times New Roman" w:hAnsi="Times New Roman" w:cs="Times New Roman"/>
          <w:sz w:val="28"/>
          <w:szCs w:val="28"/>
        </w:rPr>
        <w:t>Переселение граждан из жилых домов, признанных непригодными для проживания (ветхих, аварийных, фенольных) является одной из приоритетных задач государства в сфере улучшения качества жизни населения, поскольку связано с безопасностью проживания граждан.</w:t>
      </w:r>
    </w:p>
    <w:p w:rsidR="0020309F" w:rsidRDefault="0020309F" w:rsidP="0020309F">
      <w:pPr>
        <w:spacing w:after="0"/>
        <w:jc w:val="both"/>
        <w:rPr>
          <w:rFonts w:ascii="Times New Roman" w:hAnsi="Times New Roman" w:cs="Times New Roman"/>
          <w:sz w:val="28"/>
          <w:szCs w:val="28"/>
        </w:rPr>
      </w:pPr>
      <w:r w:rsidRPr="0030492C">
        <w:rPr>
          <w:rFonts w:ascii="Times New Roman" w:hAnsi="Times New Roman" w:cs="Times New Roman"/>
          <w:sz w:val="28"/>
          <w:szCs w:val="28"/>
        </w:rPr>
        <w:tab/>
        <w:t xml:space="preserve">Для решения указанной социальной задачи, Правительством автономного округа реализуется комплекс мероприятий, в том числе ряд </w:t>
      </w:r>
      <w:r w:rsidRPr="0030492C">
        <w:rPr>
          <w:rFonts w:ascii="Times New Roman" w:hAnsi="Times New Roman" w:cs="Times New Roman"/>
          <w:sz w:val="28"/>
          <w:szCs w:val="28"/>
        </w:rPr>
        <w:lastRenderedPageBreak/>
        <w:t>окружных программ, которые в совокупности направлены на создание условий для жилищного строительства, увеличению ввода жилья на территории округа, что в конечном итоге позволит решить проблему обеспечения жителей Югры доступным и комфортным жильем.</w:t>
      </w:r>
    </w:p>
    <w:p w:rsidR="0020309F" w:rsidRDefault="0020309F" w:rsidP="0020309F">
      <w:pPr>
        <w:spacing w:after="0"/>
        <w:jc w:val="both"/>
        <w:rPr>
          <w:rFonts w:ascii="Times New Roman" w:hAnsi="Times New Roman" w:cs="Times New Roman"/>
          <w:sz w:val="28"/>
          <w:szCs w:val="28"/>
        </w:rPr>
      </w:pPr>
    </w:p>
    <w:p w:rsidR="0020309F" w:rsidRPr="00C11E91" w:rsidRDefault="0020309F" w:rsidP="0020309F">
      <w:pPr>
        <w:spacing w:after="0"/>
        <w:jc w:val="both"/>
        <w:rPr>
          <w:rFonts w:ascii="Times New Roman" w:hAnsi="Times New Roman" w:cs="Times New Roman"/>
          <w:b/>
          <w:bCs/>
          <w:sz w:val="24"/>
          <w:szCs w:val="24"/>
        </w:rPr>
      </w:pPr>
      <w:r w:rsidRPr="00C11E91">
        <w:rPr>
          <w:rFonts w:ascii="Times New Roman" w:hAnsi="Times New Roman" w:cs="Times New Roman"/>
          <w:b/>
          <w:bCs/>
          <w:sz w:val="24"/>
          <w:szCs w:val="24"/>
        </w:rPr>
        <w:t xml:space="preserve">Общая площадь жилищного фонда по проценту износа, </w:t>
      </w:r>
      <w:proofErr w:type="spellStart"/>
      <w:r w:rsidRPr="00C11E91">
        <w:rPr>
          <w:rFonts w:ascii="Times New Roman" w:hAnsi="Times New Roman" w:cs="Times New Roman"/>
          <w:b/>
          <w:bCs/>
          <w:sz w:val="24"/>
          <w:szCs w:val="24"/>
        </w:rPr>
        <w:t>тыс.кв.м</w:t>
      </w:r>
      <w:proofErr w:type="spellEnd"/>
      <w:r w:rsidRPr="00C11E91">
        <w:rPr>
          <w:rFonts w:ascii="Times New Roman" w:hAnsi="Times New Roman" w:cs="Times New Roman"/>
          <w:b/>
          <w:bCs/>
          <w:sz w:val="24"/>
          <w:szCs w:val="24"/>
        </w:rPr>
        <w:t>.</w:t>
      </w:r>
    </w:p>
    <w:p w:rsidR="0020309F" w:rsidRDefault="0020309F" w:rsidP="0020309F">
      <w:pPr>
        <w:spacing w:after="0"/>
        <w:jc w:val="both"/>
        <w:rPr>
          <w:rFonts w:ascii="Times New Roman" w:hAnsi="Times New Roman" w:cs="Times New Roman"/>
          <w:sz w:val="28"/>
          <w:szCs w:val="28"/>
        </w:rPr>
      </w:pPr>
      <w:r>
        <w:rPr>
          <w:noProof/>
          <w:lang w:eastAsia="ru-RU"/>
        </w:rPr>
        <w:drawing>
          <wp:inline distT="0" distB="0" distL="0" distR="0">
            <wp:extent cx="5895975" cy="3848100"/>
            <wp:effectExtent l="0" t="0" r="9525" b="0"/>
            <wp:docPr id="3"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11"/>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95975" cy="3848100"/>
                    </a:xfrm>
                    <a:prstGeom prst="rect">
                      <a:avLst/>
                    </a:prstGeom>
                    <a:noFill/>
                    <a:ln>
                      <a:noFill/>
                    </a:ln>
                  </pic:spPr>
                </pic:pic>
              </a:graphicData>
            </a:graphic>
          </wp:inline>
        </w:drawing>
      </w:r>
    </w:p>
    <w:p w:rsidR="0020309F" w:rsidRPr="00361E63" w:rsidRDefault="0020309F" w:rsidP="0020309F">
      <w:pPr>
        <w:spacing w:after="0"/>
        <w:jc w:val="both"/>
        <w:rPr>
          <w:rFonts w:ascii="Times New Roman" w:hAnsi="Times New Roman" w:cs="Times New Roman"/>
          <w:b/>
          <w:bCs/>
          <w:i/>
          <w:iCs/>
          <w:sz w:val="20"/>
          <w:szCs w:val="20"/>
        </w:rPr>
      </w:pPr>
      <w:r w:rsidRPr="00361E63">
        <w:rPr>
          <w:rFonts w:ascii="Times New Roman" w:hAnsi="Times New Roman" w:cs="Times New Roman"/>
          <w:b/>
          <w:bCs/>
          <w:i/>
          <w:iCs/>
          <w:sz w:val="20"/>
          <w:szCs w:val="20"/>
        </w:rPr>
        <w:t xml:space="preserve">данные в соответствии со </w:t>
      </w:r>
      <w:proofErr w:type="spellStart"/>
      <w:r w:rsidRPr="00361E63">
        <w:rPr>
          <w:rFonts w:ascii="Times New Roman" w:hAnsi="Times New Roman" w:cs="Times New Roman"/>
          <w:b/>
          <w:bCs/>
          <w:i/>
          <w:iCs/>
          <w:sz w:val="20"/>
          <w:szCs w:val="20"/>
        </w:rPr>
        <w:t>стат</w:t>
      </w:r>
      <w:proofErr w:type="spellEnd"/>
      <w:r w:rsidRPr="00361E63">
        <w:rPr>
          <w:rFonts w:ascii="Times New Roman" w:hAnsi="Times New Roman" w:cs="Times New Roman"/>
          <w:b/>
          <w:bCs/>
          <w:i/>
          <w:iCs/>
          <w:sz w:val="20"/>
          <w:szCs w:val="20"/>
        </w:rPr>
        <w:t>-формой 1-Жилфонд</w:t>
      </w:r>
    </w:p>
    <w:p w:rsidR="0020309F" w:rsidRDefault="0020309F" w:rsidP="0020309F">
      <w:pPr>
        <w:spacing w:after="0"/>
        <w:jc w:val="both"/>
        <w:rPr>
          <w:rFonts w:ascii="Times New Roman" w:hAnsi="Times New Roman" w:cs="Times New Roman"/>
          <w:i/>
          <w:iCs/>
          <w:sz w:val="24"/>
          <w:szCs w:val="24"/>
        </w:rPr>
      </w:pPr>
      <w:r w:rsidRPr="00C11E91">
        <w:rPr>
          <w:rFonts w:ascii="Times New Roman" w:hAnsi="Times New Roman" w:cs="Times New Roman"/>
          <w:i/>
          <w:iCs/>
          <w:sz w:val="24"/>
          <w:szCs w:val="24"/>
        </w:rPr>
        <w:t>* прогнозные данные</w:t>
      </w:r>
    </w:p>
    <w:p w:rsidR="0020309F" w:rsidRDefault="0020309F" w:rsidP="0020309F">
      <w:pPr>
        <w:spacing w:after="0"/>
        <w:ind w:firstLine="709"/>
        <w:jc w:val="both"/>
        <w:rPr>
          <w:rFonts w:ascii="Times New Roman" w:hAnsi="Times New Roman" w:cs="Times New Roman"/>
          <w:sz w:val="28"/>
          <w:szCs w:val="28"/>
        </w:rPr>
      </w:pPr>
      <w:r>
        <w:rPr>
          <w:rFonts w:ascii="Times New Roman" w:hAnsi="Times New Roman" w:cs="Times New Roman"/>
          <w:sz w:val="28"/>
          <w:szCs w:val="28"/>
        </w:rPr>
        <w:t>В целях недопущения увеличения износа жилищного фонда в</w:t>
      </w:r>
      <w:r w:rsidRPr="008378BD">
        <w:rPr>
          <w:rFonts w:ascii="Times New Roman" w:hAnsi="Times New Roman" w:cs="Times New Roman"/>
          <w:sz w:val="28"/>
          <w:szCs w:val="28"/>
        </w:rPr>
        <w:t xml:space="preserve"> 2014 году во всех регионах России стартовала масштабная система капитального ремонта – долгосрочный общероссийский проект, задача которого сохранить дома и обеспечить безопасность каждой семье, проживающей в многоквартирном доме.</w:t>
      </w:r>
    </w:p>
    <w:p w:rsidR="0020309F" w:rsidRPr="00D7073E" w:rsidRDefault="0020309F" w:rsidP="0020309F">
      <w:pPr>
        <w:spacing w:after="0"/>
        <w:ind w:firstLine="709"/>
        <w:jc w:val="both"/>
        <w:rPr>
          <w:rFonts w:ascii="Times New Roman" w:hAnsi="Times New Roman" w:cs="Times New Roman"/>
          <w:sz w:val="28"/>
          <w:szCs w:val="28"/>
        </w:rPr>
      </w:pPr>
    </w:p>
    <w:p w:rsidR="0020309F" w:rsidRPr="009A1F4A" w:rsidRDefault="0020309F" w:rsidP="0020309F">
      <w:pPr>
        <w:spacing w:after="0"/>
        <w:jc w:val="center"/>
        <w:rPr>
          <w:rFonts w:ascii="Times New Roman" w:hAnsi="Times New Roman" w:cs="Times New Roman"/>
          <w:b/>
          <w:sz w:val="28"/>
          <w:szCs w:val="28"/>
        </w:rPr>
      </w:pPr>
      <w:bookmarkStart w:id="0" w:name="_GoBack"/>
      <w:bookmarkEnd w:id="0"/>
      <w:r w:rsidRPr="009A1F4A">
        <w:rPr>
          <w:rFonts w:ascii="Times New Roman" w:hAnsi="Times New Roman" w:cs="Times New Roman"/>
          <w:b/>
          <w:sz w:val="28"/>
          <w:szCs w:val="28"/>
        </w:rPr>
        <w:t>Капитальный ремонт жилищного фонда</w:t>
      </w:r>
    </w:p>
    <w:p w:rsidR="0020309F" w:rsidRDefault="0020309F" w:rsidP="0020309F">
      <w:pPr>
        <w:spacing w:after="0"/>
        <w:jc w:val="both"/>
        <w:rPr>
          <w:rFonts w:ascii="Times New Roman" w:hAnsi="Times New Roman" w:cs="Times New Roman"/>
          <w:sz w:val="28"/>
          <w:szCs w:val="28"/>
        </w:rPr>
      </w:pPr>
      <w:r>
        <w:rPr>
          <w:noProof/>
          <w:lang w:eastAsia="ru-RU"/>
        </w:rPr>
        <w:lastRenderedPageBreak/>
        <w:drawing>
          <wp:inline distT="0" distB="0" distL="0" distR="0">
            <wp:extent cx="6162675" cy="3886200"/>
            <wp:effectExtent l="0" t="0" r="9525" b="0"/>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12"/>
                    <pic:cNvPicPr>
                      <a:picLocks noChangeArrowheads="1"/>
                    </pic:cNvPicPr>
                  </pic:nvPicPr>
                  <pic:blipFill>
                    <a:blip r:embed="rId14">
                      <a:extLst>
                        <a:ext uri="{28A0092B-C50C-407E-A947-70E740481C1C}">
                          <a14:useLocalDpi xmlns:a14="http://schemas.microsoft.com/office/drawing/2010/main" val="0"/>
                        </a:ext>
                      </a:extLst>
                    </a:blip>
                    <a:srcRect b="-32"/>
                    <a:stretch>
                      <a:fillRect/>
                    </a:stretch>
                  </pic:blipFill>
                  <pic:spPr bwMode="auto">
                    <a:xfrm>
                      <a:off x="0" y="0"/>
                      <a:ext cx="6162675" cy="3886200"/>
                    </a:xfrm>
                    <a:prstGeom prst="rect">
                      <a:avLst/>
                    </a:prstGeom>
                    <a:noFill/>
                    <a:ln>
                      <a:noFill/>
                    </a:ln>
                  </pic:spPr>
                </pic:pic>
              </a:graphicData>
            </a:graphic>
          </wp:inline>
        </w:drawing>
      </w:r>
    </w:p>
    <w:p w:rsidR="0020309F" w:rsidRPr="00361E63" w:rsidRDefault="0020309F" w:rsidP="0020309F">
      <w:pPr>
        <w:spacing w:after="0"/>
        <w:jc w:val="both"/>
        <w:rPr>
          <w:rFonts w:ascii="Times New Roman" w:hAnsi="Times New Roman" w:cs="Times New Roman"/>
          <w:b/>
          <w:bCs/>
          <w:i/>
          <w:iCs/>
          <w:sz w:val="20"/>
          <w:szCs w:val="20"/>
        </w:rPr>
      </w:pPr>
      <w:r w:rsidRPr="00361E63">
        <w:rPr>
          <w:rFonts w:ascii="Times New Roman" w:hAnsi="Times New Roman" w:cs="Times New Roman"/>
          <w:b/>
          <w:bCs/>
          <w:i/>
          <w:iCs/>
          <w:sz w:val="20"/>
          <w:szCs w:val="20"/>
        </w:rPr>
        <w:t xml:space="preserve">данные в соответствии со </w:t>
      </w:r>
      <w:proofErr w:type="spellStart"/>
      <w:r w:rsidRPr="00361E63">
        <w:rPr>
          <w:rFonts w:ascii="Times New Roman" w:hAnsi="Times New Roman" w:cs="Times New Roman"/>
          <w:b/>
          <w:bCs/>
          <w:i/>
          <w:iCs/>
          <w:sz w:val="20"/>
          <w:szCs w:val="20"/>
        </w:rPr>
        <w:t>стат</w:t>
      </w:r>
      <w:proofErr w:type="spellEnd"/>
      <w:r w:rsidRPr="00361E63">
        <w:rPr>
          <w:rFonts w:ascii="Times New Roman" w:hAnsi="Times New Roman" w:cs="Times New Roman"/>
          <w:b/>
          <w:bCs/>
          <w:i/>
          <w:iCs/>
          <w:sz w:val="20"/>
          <w:szCs w:val="20"/>
        </w:rPr>
        <w:t>-формой 1-</w:t>
      </w:r>
      <w:r>
        <w:rPr>
          <w:rFonts w:ascii="Times New Roman" w:hAnsi="Times New Roman" w:cs="Times New Roman"/>
          <w:b/>
          <w:bCs/>
          <w:i/>
          <w:iCs/>
          <w:sz w:val="20"/>
          <w:szCs w:val="20"/>
        </w:rPr>
        <w:t>Капремонт</w:t>
      </w:r>
    </w:p>
    <w:p w:rsidR="0020309F" w:rsidRPr="007D6898" w:rsidRDefault="0020309F" w:rsidP="0020309F">
      <w:pPr>
        <w:spacing w:after="0"/>
        <w:jc w:val="both"/>
        <w:rPr>
          <w:rFonts w:ascii="Times New Roman" w:hAnsi="Times New Roman" w:cs="Times New Roman"/>
          <w:i/>
          <w:iCs/>
          <w:sz w:val="24"/>
          <w:szCs w:val="24"/>
        </w:rPr>
      </w:pPr>
      <w:r w:rsidRPr="00687CD4">
        <w:rPr>
          <w:rFonts w:ascii="Times New Roman" w:hAnsi="Times New Roman" w:cs="Times New Roman"/>
          <w:i/>
          <w:iCs/>
          <w:sz w:val="24"/>
          <w:szCs w:val="24"/>
        </w:rPr>
        <w:t>* в рамках планируемого объема региональной программы капитального ремонта</w:t>
      </w:r>
      <w:r>
        <w:rPr>
          <w:rFonts w:ascii="Times New Roman" w:hAnsi="Times New Roman" w:cs="Times New Roman"/>
          <w:i/>
          <w:iCs/>
          <w:sz w:val="24"/>
          <w:szCs w:val="24"/>
        </w:rPr>
        <w:t xml:space="preserve">, фактически в рамках данной программы </w:t>
      </w:r>
      <w:r w:rsidRPr="007D6898">
        <w:rPr>
          <w:rFonts w:ascii="Times New Roman" w:hAnsi="Times New Roman" w:cs="Times New Roman"/>
          <w:i/>
          <w:iCs/>
          <w:sz w:val="24"/>
          <w:szCs w:val="24"/>
        </w:rPr>
        <w:t>по состоянию на 1 января 2015 года проведен капитальный ремонт 4 многоквартирных домов, общ</w:t>
      </w:r>
      <w:r>
        <w:rPr>
          <w:rFonts w:ascii="Times New Roman" w:hAnsi="Times New Roman" w:cs="Times New Roman"/>
          <w:i/>
          <w:iCs/>
          <w:sz w:val="24"/>
          <w:szCs w:val="24"/>
        </w:rPr>
        <w:t>ей</w:t>
      </w:r>
      <w:r w:rsidRPr="007D6898">
        <w:rPr>
          <w:rFonts w:ascii="Times New Roman" w:hAnsi="Times New Roman" w:cs="Times New Roman"/>
          <w:i/>
          <w:iCs/>
          <w:sz w:val="24"/>
          <w:szCs w:val="24"/>
        </w:rPr>
        <w:t xml:space="preserve"> площадь</w:t>
      </w:r>
      <w:r>
        <w:rPr>
          <w:rFonts w:ascii="Times New Roman" w:hAnsi="Times New Roman" w:cs="Times New Roman"/>
          <w:i/>
          <w:iCs/>
          <w:sz w:val="24"/>
          <w:szCs w:val="24"/>
        </w:rPr>
        <w:t>ю</w:t>
      </w:r>
      <w:r w:rsidRPr="007D6898">
        <w:rPr>
          <w:rFonts w:ascii="Times New Roman" w:hAnsi="Times New Roman" w:cs="Times New Roman"/>
          <w:i/>
          <w:iCs/>
          <w:sz w:val="24"/>
          <w:szCs w:val="24"/>
        </w:rPr>
        <w:t xml:space="preserve"> 7553,5 </w:t>
      </w:r>
      <w:proofErr w:type="spellStart"/>
      <w:r w:rsidRPr="007D6898">
        <w:rPr>
          <w:rFonts w:ascii="Times New Roman" w:hAnsi="Times New Roman" w:cs="Times New Roman"/>
          <w:i/>
          <w:iCs/>
          <w:sz w:val="24"/>
          <w:szCs w:val="24"/>
        </w:rPr>
        <w:t>кв.м</w:t>
      </w:r>
      <w:proofErr w:type="spellEnd"/>
      <w:r w:rsidRPr="007D6898">
        <w:rPr>
          <w:rFonts w:ascii="Times New Roman" w:hAnsi="Times New Roman" w:cs="Times New Roman"/>
          <w:i/>
          <w:iCs/>
          <w:sz w:val="24"/>
          <w:szCs w:val="24"/>
        </w:rPr>
        <w:t>.</w:t>
      </w:r>
    </w:p>
    <w:p w:rsidR="0020309F" w:rsidRDefault="0020309F" w:rsidP="0020309F">
      <w:pPr>
        <w:spacing w:after="0"/>
        <w:jc w:val="both"/>
        <w:rPr>
          <w:rFonts w:ascii="Times New Roman" w:hAnsi="Times New Roman" w:cs="Times New Roman"/>
          <w:sz w:val="28"/>
          <w:szCs w:val="28"/>
        </w:rPr>
      </w:pPr>
    </w:p>
    <w:p w:rsidR="0020309F" w:rsidRDefault="0020309F" w:rsidP="0020309F">
      <w:pPr>
        <w:spacing w:after="0"/>
        <w:ind w:firstLine="708"/>
        <w:jc w:val="both"/>
        <w:rPr>
          <w:rFonts w:ascii="Times New Roman" w:hAnsi="Times New Roman" w:cs="Times New Roman"/>
          <w:sz w:val="28"/>
          <w:szCs w:val="28"/>
        </w:rPr>
      </w:pPr>
      <w:r w:rsidRPr="007D6898">
        <w:rPr>
          <w:rFonts w:ascii="Times New Roman" w:hAnsi="Times New Roman" w:cs="Times New Roman"/>
          <w:sz w:val="28"/>
          <w:szCs w:val="28"/>
        </w:rPr>
        <w:t xml:space="preserve">За 2008-2014 годы </w:t>
      </w:r>
      <w:r>
        <w:rPr>
          <w:rFonts w:ascii="Times New Roman" w:hAnsi="Times New Roman" w:cs="Times New Roman"/>
          <w:sz w:val="28"/>
          <w:szCs w:val="28"/>
        </w:rPr>
        <w:t>в рамках адресной программы (</w:t>
      </w:r>
      <w:r w:rsidRPr="00CB4572">
        <w:rPr>
          <w:rFonts w:ascii="Times New Roman" w:hAnsi="Times New Roman" w:cs="Times New Roman"/>
          <w:sz w:val="28"/>
          <w:szCs w:val="28"/>
        </w:rPr>
        <w:t xml:space="preserve">совместно с Фондом реформирования жилищно-коммунального </w:t>
      </w:r>
      <w:proofErr w:type="gramStart"/>
      <w:r w:rsidRPr="00CB4572">
        <w:rPr>
          <w:rFonts w:ascii="Times New Roman" w:hAnsi="Times New Roman" w:cs="Times New Roman"/>
          <w:sz w:val="28"/>
          <w:szCs w:val="28"/>
        </w:rPr>
        <w:t>хозяйства</w:t>
      </w:r>
      <w:r>
        <w:rPr>
          <w:rFonts w:ascii="Times New Roman" w:hAnsi="Times New Roman" w:cs="Times New Roman"/>
          <w:sz w:val="28"/>
          <w:szCs w:val="28"/>
        </w:rPr>
        <w:t>)и</w:t>
      </w:r>
      <w:proofErr w:type="gramEnd"/>
      <w:r>
        <w:rPr>
          <w:rFonts w:ascii="Times New Roman" w:hAnsi="Times New Roman" w:cs="Times New Roman"/>
          <w:sz w:val="28"/>
          <w:szCs w:val="28"/>
        </w:rPr>
        <w:t xml:space="preserve"> целевой программы «Наш дом на 2011-2013 годы» </w:t>
      </w:r>
      <w:r w:rsidRPr="00CB4572">
        <w:rPr>
          <w:rFonts w:ascii="Times New Roman" w:hAnsi="Times New Roman" w:cs="Times New Roman"/>
          <w:sz w:val="28"/>
          <w:szCs w:val="28"/>
        </w:rPr>
        <w:t xml:space="preserve">отремонтировано </w:t>
      </w:r>
      <w:r w:rsidRPr="007D6898">
        <w:rPr>
          <w:rFonts w:ascii="Times New Roman" w:hAnsi="Times New Roman" w:cs="Times New Roman"/>
          <w:sz w:val="28"/>
          <w:szCs w:val="28"/>
        </w:rPr>
        <w:t>899 многоквартирных домов общей площадью 2446,6 тыс. кв. м, в которых проживает 115,2 тыс. человек.</w:t>
      </w:r>
    </w:p>
    <w:p w:rsidR="0020309F" w:rsidRPr="00203A1C" w:rsidRDefault="0020309F" w:rsidP="0020309F">
      <w:pPr>
        <w:spacing w:after="0"/>
        <w:ind w:firstLine="708"/>
        <w:jc w:val="both"/>
        <w:rPr>
          <w:rFonts w:ascii="Times New Roman" w:hAnsi="Times New Roman" w:cs="Times New Roman"/>
          <w:sz w:val="28"/>
          <w:szCs w:val="28"/>
        </w:rPr>
      </w:pPr>
    </w:p>
    <w:p w:rsidR="0020309F" w:rsidRPr="00E17178" w:rsidRDefault="0020309F" w:rsidP="0020309F">
      <w:pPr>
        <w:spacing w:after="0"/>
        <w:jc w:val="both"/>
        <w:rPr>
          <w:rFonts w:ascii="Times New Roman" w:hAnsi="Times New Roman" w:cs="Times New Roman"/>
          <w:sz w:val="24"/>
          <w:szCs w:val="24"/>
          <w:lang w:eastAsia="ru-RU"/>
        </w:rPr>
      </w:pPr>
      <w:proofErr w:type="gramStart"/>
      <w:r w:rsidRPr="00E17178">
        <w:rPr>
          <w:rFonts w:ascii="Times New Roman" w:hAnsi="Times New Roman" w:cs="Times New Roman"/>
          <w:sz w:val="28"/>
          <w:szCs w:val="28"/>
          <w:lang w:eastAsia="ru-RU"/>
        </w:rPr>
        <w:t>6  декабря</w:t>
      </w:r>
      <w:proofErr w:type="gramEnd"/>
      <w:r w:rsidRPr="00E17178">
        <w:rPr>
          <w:rFonts w:ascii="Times New Roman" w:hAnsi="Times New Roman" w:cs="Times New Roman"/>
          <w:sz w:val="28"/>
          <w:szCs w:val="28"/>
          <w:lang w:eastAsia="ru-RU"/>
        </w:rPr>
        <w:t xml:space="preserve"> 2013 года создан региональный оператор - некоммерческая организация «Югорский фонд капитального ремонта многоквартирных домов»;</w:t>
      </w:r>
    </w:p>
    <w:p w:rsidR="0020309F" w:rsidRPr="00E17178" w:rsidRDefault="0020309F" w:rsidP="0020309F">
      <w:pPr>
        <w:spacing w:after="0"/>
        <w:jc w:val="both"/>
        <w:rPr>
          <w:rFonts w:ascii="Times New Roman" w:hAnsi="Times New Roman" w:cs="Times New Roman"/>
          <w:sz w:val="24"/>
          <w:szCs w:val="24"/>
          <w:lang w:eastAsia="ru-RU"/>
        </w:rPr>
      </w:pPr>
      <w:r w:rsidRPr="00E17178">
        <w:rPr>
          <w:rFonts w:ascii="Times New Roman" w:hAnsi="Times New Roman" w:cs="Times New Roman"/>
          <w:sz w:val="12"/>
          <w:szCs w:val="12"/>
          <w:lang w:eastAsia="ru-RU"/>
        </w:rPr>
        <w:t> </w:t>
      </w:r>
    </w:p>
    <w:p w:rsidR="0020309F" w:rsidRPr="00E17178" w:rsidRDefault="0020309F" w:rsidP="0020309F">
      <w:pPr>
        <w:spacing w:after="0"/>
        <w:jc w:val="both"/>
        <w:rPr>
          <w:rFonts w:ascii="Times New Roman" w:hAnsi="Times New Roman" w:cs="Times New Roman"/>
          <w:sz w:val="24"/>
          <w:szCs w:val="24"/>
          <w:lang w:eastAsia="ru-RU"/>
        </w:rPr>
      </w:pPr>
      <w:r w:rsidRPr="00E17178">
        <w:rPr>
          <w:rFonts w:ascii="Times New Roman" w:hAnsi="Times New Roman" w:cs="Times New Roman"/>
          <w:sz w:val="28"/>
          <w:szCs w:val="28"/>
          <w:lang w:eastAsia="ru-RU"/>
        </w:rPr>
        <w:t xml:space="preserve">25 декабря 2013 года утверждена региональная программа капитального ремонта общего имущества в многоквартирных домах, расположенных на территории </w:t>
      </w:r>
      <w:proofErr w:type="spellStart"/>
      <w:r w:rsidRPr="00E17178">
        <w:rPr>
          <w:rFonts w:ascii="Times New Roman" w:hAnsi="Times New Roman" w:cs="Times New Roman"/>
          <w:sz w:val="28"/>
          <w:szCs w:val="28"/>
          <w:lang w:eastAsia="ru-RU"/>
        </w:rPr>
        <w:t>ХМАО</w:t>
      </w:r>
      <w:proofErr w:type="spellEnd"/>
      <w:r w:rsidRPr="00E17178">
        <w:rPr>
          <w:rFonts w:ascii="Times New Roman" w:hAnsi="Times New Roman" w:cs="Times New Roman"/>
          <w:sz w:val="28"/>
          <w:szCs w:val="28"/>
          <w:lang w:eastAsia="ru-RU"/>
        </w:rPr>
        <w:t>-Югры. В программу включено 6 903 многоквартирных дома, программа</w:t>
      </w:r>
      <w:r>
        <w:rPr>
          <w:rFonts w:ascii="Times New Roman" w:hAnsi="Times New Roman" w:cs="Times New Roman"/>
          <w:sz w:val="28"/>
          <w:szCs w:val="28"/>
          <w:lang w:eastAsia="ru-RU"/>
        </w:rPr>
        <w:t xml:space="preserve"> рассчитана на 30 летний период, </w:t>
      </w:r>
      <w:r w:rsidRPr="00E17178">
        <w:rPr>
          <w:rFonts w:ascii="Times New Roman" w:hAnsi="Times New Roman" w:cs="Times New Roman"/>
          <w:sz w:val="28"/>
          <w:szCs w:val="28"/>
          <w:lang w:eastAsia="ru-RU"/>
        </w:rPr>
        <w:t xml:space="preserve">по состоянию на 1 января 2015 </w:t>
      </w:r>
      <w:proofErr w:type="gramStart"/>
      <w:r w:rsidRPr="00E17178">
        <w:rPr>
          <w:rFonts w:ascii="Times New Roman" w:hAnsi="Times New Roman" w:cs="Times New Roman"/>
          <w:sz w:val="28"/>
          <w:szCs w:val="28"/>
          <w:lang w:eastAsia="ru-RU"/>
        </w:rPr>
        <w:t>года  проведен</w:t>
      </w:r>
      <w:proofErr w:type="gramEnd"/>
      <w:r w:rsidRPr="00E17178">
        <w:rPr>
          <w:rFonts w:ascii="Times New Roman" w:hAnsi="Times New Roman" w:cs="Times New Roman"/>
          <w:sz w:val="28"/>
          <w:szCs w:val="28"/>
          <w:lang w:eastAsia="ru-RU"/>
        </w:rPr>
        <w:t xml:space="preserve"> капитальный ремонт 4 многоквартирных домов, общая площадь  которых 7553,5 </w:t>
      </w:r>
      <w:proofErr w:type="spellStart"/>
      <w:r w:rsidRPr="00E17178">
        <w:rPr>
          <w:rFonts w:ascii="Times New Roman" w:hAnsi="Times New Roman" w:cs="Times New Roman"/>
          <w:sz w:val="28"/>
          <w:szCs w:val="28"/>
          <w:lang w:eastAsia="ru-RU"/>
        </w:rPr>
        <w:t>кв.м</w:t>
      </w:r>
      <w:proofErr w:type="spellEnd"/>
      <w:r w:rsidRPr="00E17178">
        <w:rPr>
          <w:rFonts w:ascii="Times New Roman" w:hAnsi="Times New Roman" w:cs="Times New Roman"/>
          <w:sz w:val="28"/>
          <w:szCs w:val="28"/>
          <w:lang w:eastAsia="ru-RU"/>
        </w:rPr>
        <w:t>.</w:t>
      </w:r>
    </w:p>
    <w:p w:rsidR="00912D8A" w:rsidRDefault="00912D8A" w:rsidP="00912D8A">
      <w:pPr>
        <w:widowControl w:val="0"/>
        <w:autoSpaceDE w:val="0"/>
        <w:autoSpaceDN w:val="0"/>
        <w:adjustRightInd w:val="0"/>
        <w:spacing w:after="0" w:line="240" w:lineRule="auto"/>
        <w:ind w:firstLine="708"/>
        <w:jc w:val="both"/>
        <w:rPr>
          <w:rFonts w:ascii="Times New Roman" w:hAnsi="Times New Roman" w:cs="Times New Roman"/>
          <w:sz w:val="28"/>
          <w:szCs w:val="28"/>
        </w:rPr>
      </w:pPr>
    </w:p>
    <w:p w:rsidR="0020309F" w:rsidRDefault="0020309F" w:rsidP="00912D8A">
      <w:pPr>
        <w:widowControl w:val="0"/>
        <w:autoSpaceDE w:val="0"/>
        <w:autoSpaceDN w:val="0"/>
        <w:adjustRightInd w:val="0"/>
        <w:spacing w:after="0" w:line="240" w:lineRule="auto"/>
        <w:ind w:firstLine="708"/>
        <w:jc w:val="both"/>
        <w:rPr>
          <w:rFonts w:ascii="Times New Roman" w:hAnsi="Times New Roman" w:cs="Times New Roman"/>
          <w:sz w:val="28"/>
          <w:szCs w:val="28"/>
        </w:rPr>
      </w:pPr>
    </w:p>
    <w:p w:rsidR="0020309F" w:rsidRDefault="0020309F" w:rsidP="00912D8A">
      <w:pPr>
        <w:widowControl w:val="0"/>
        <w:autoSpaceDE w:val="0"/>
        <w:autoSpaceDN w:val="0"/>
        <w:adjustRightInd w:val="0"/>
        <w:spacing w:after="0" w:line="240" w:lineRule="auto"/>
        <w:ind w:firstLine="708"/>
        <w:jc w:val="both"/>
        <w:rPr>
          <w:rFonts w:ascii="Times New Roman" w:hAnsi="Times New Roman" w:cs="Times New Roman"/>
          <w:sz w:val="28"/>
          <w:szCs w:val="28"/>
        </w:rPr>
      </w:pPr>
    </w:p>
    <w:p w:rsidR="0020309F" w:rsidRDefault="0020309F" w:rsidP="00912D8A">
      <w:pPr>
        <w:widowControl w:val="0"/>
        <w:autoSpaceDE w:val="0"/>
        <w:autoSpaceDN w:val="0"/>
        <w:adjustRightInd w:val="0"/>
        <w:spacing w:after="0" w:line="240" w:lineRule="auto"/>
        <w:ind w:firstLine="708"/>
        <w:jc w:val="both"/>
        <w:rPr>
          <w:rFonts w:ascii="Times New Roman" w:hAnsi="Times New Roman" w:cs="Times New Roman"/>
          <w:sz w:val="28"/>
          <w:szCs w:val="28"/>
        </w:rPr>
      </w:pPr>
    </w:p>
    <w:p w:rsidR="0020309F" w:rsidRDefault="0020309F" w:rsidP="00912D8A">
      <w:pPr>
        <w:widowControl w:val="0"/>
        <w:autoSpaceDE w:val="0"/>
        <w:autoSpaceDN w:val="0"/>
        <w:adjustRightInd w:val="0"/>
        <w:spacing w:after="0" w:line="240" w:lineRule="auto"/>
        <w:ind w:firstLine="708"/>
        <w:jc w:val="both"/>
        <w:rPr>
          <w:rFonts w:ascii="Times New Roman" w:hAnsi="Times New Roman" w:cs="Times New Roman"/>
          <w:sz w:val="28"/>
          <w:szCs w:val="28"/>
        </w:rPr>
      </w:pPr>
    </w:p>
    <w:p w:rsidR="0020309F" w:rsidRPr="00CA0505" w:rsidRDefault="0020309F" w:rsidP="0020309F">
      <w:pPr>
        <w:autoSpaceDE w:val="0"/>
        <w:autoSpaceDN w:val="0"/>
        <w:adjustRightInd w:val="0"/>
        <w:spacing w:after="0"/>
        <w:jc w:val="center"/>
        <w:rPr>
          <w:rFonts w:ascii="Times New Roman" w:eastAsia="Times New Roman" w:hAnsi="Times New Roman"/>
          <w:b/>
          <w:bCs/>
          <w:sz w:val="28"/>
          <w:szCs w:val="28"/>
          <w:lang w:eastAsia="ru-RU"/>
        </w:rPr>
      </w:pPr>
      <w:r w:rsidRPr="00CA0505">
        <w:rPr>
          <w:rFonts w:ascii="Times New Roman" w:eastAsia="Times New Roman" w:hAnsi="Times New Roman"/>
          <w:b/>
          <w:bCs/>
          <w:sz w:val="28"/>
          <w:szCs w:val="28"/>
          <w:lang w:eastAsia="ru-RU"/>
        </w:rPr>
        <w:lastRenderedPageBreak/>
        <w:t>ЭЛЕКТРОЭНЕРГЕТИКА</w:t>
      </w:r>
    </w:p>
    <w:p w:rsidR="0020309F" w:rsidRDefault="0020309F" w:rsidP="0020309F">
      <w:pPr>
        <w:spacing w:after="0" w:line="240" w:lineRule="auto"/>
        <w:ind w:firstLine="708"/>
        <w:jc w:val="both"/>
        <w:rPr>
          <w:rFonts w:ascii="Times New Roman" w:hAnsi="Times New Roman"/>
          <w:b/>
          <w:i/>
          <w:sz w:val="28"/>
          <w:szCs w:val="28"/>
        </w:rPr>
      </w:pPr>
    </w:p>
    <w:p w:rsidR="0020309F" w:rsidRPr="009A1F4A" w:rsidRDefault="0020309F" w:rsidP="0020309F">
      <w:pPr>
        <w:spacing w:after="0" w:line="240" w:lineRule="auto"/>
        <w:ind w:firstLine="708"/>
        <w:jc w:val="both"/>
        <w:rPr>
          <w:rFonts w:ascii="Times New Roman" w:hAnsi="Times New Roman" w:cs="Times New Roman"/>
          <w:sz w:val="28"/>
          <w:szCs w:val="28"/>
          <w:lang w:eastAsia="ru-RU"/>
        </w:rPr>
      </w:pPr>
      <w:r w:rsidRPr="009A1F4A">
        <w:rPr>
          <w:rFonts w:ascii="Times New Roman" w:hAnsi="Times New Roman" w:cs="Times New Roman"/>
          <w:sz w:val="28"/>
          <w:szCs w:val="28"/>
          <w:lang w:eastAsia="ru-RU"/>
        </w:rPr>
        <w:t>Реализация Государственной программы.</w:t>
      </w:r>
    </w:p>
    <w:p w:rsidR="0020309F" w:rsidRPr="009A1F4A" w:rsidRDefault="0020309F" w:rsidP="0020309F">
      <w:pPr>
        <w:spacing w:after="0" w:line="240" w:lineRule="auto"/>
        <w:ind w:firstLine="708"/>
        <w:jc w:val="both"/>
        <w:rPr>
          <w:rFonts w:ascii="Times New Roman" w:hAnsi="Times New Roman" w:cs="Times New Roman"/>
          <w:sz w:val="28"/>
          <w:szCs w:val="28"/>
          <w:lang w:eastAsia="ru-RU"/>
        </w:rPr>
      </w:pPr>
      <w:r w:rsidRPr="009A1F4A">
        <w:rPr>
          <w:rFonts w:ascii="Times New Roman" w:hAnsi="Times New Roman" w:cs="Times New Roman"/>
          <w:sz w:val="28"/>
          <w:szCs w:val="28"/>
          <w:lang w:eastAsia="ru-RU"/>
        </w:rPr>
        <w:t>Мероприятия, касающиеся электроэнергетической отрасли Югры, реализуются в рамках подпрограмм 4 и 5 Государственной программы «Развитие жилищно-коммунального комплекса и повышение энергетической эффективности в Ханты-Мансийском автономном округе – Югре на 2014-2020 годы».</w:t>
      </w:r>
    </w:p>
    <w:p w:rsidR="0020309F" w:rsidRPr="009A1F4A" w:rsidRDefault="0020309F" w:rsidP="0020309F">
      <w:pPr>
        <w:spacing w:after="0" w:line="240" w:lineRule="auto"/>
        <w:ind w:firstLine="708"/>
        <w:jc w:val="both"/>
        <w:rPr>
          <w:rFonts w:ascii="Times New Roman" w:hAnsi="Times New Roman" w:cs="Times New Roman"/>
          <w:sz w:val="28"/>
          <w:szCs w:val="28"/>
          <w:lang w:eastAsia="ru-RU"/>
        </w:rPr>
      </w:pPr>
      <w:r w:rsidRPr="009A1F4A">
        <w:rPr>
          <w:rFonts w:ascii="Times New Roman" w:hAnsi="Times New Roman" w:cs="Times New Roman"/>
          <w:sz w:val="28"/>
          <w:szCs w:val="28"/>
          <w:lang w:eastAsia="ru-RU"/>
        </w:rPr>
        <w:t>Развитие и модернизация электроэнергетики Югры предусмотрено подпрограммой 5 «Обеспечение потребителей надежным и качественным электроснабжением» Государственной программы.</w:t>
      </w:r>
    </w:p>
    <w:p w:rsidR="0020309F" w:rsidRPr="009A1F4A" w:rsidRDefault="0020309F" w:rsidP="0020309F">
      <w:pPr>
        <w:spacing w:after="0" w:line="240" w:lineRule="auto"/>
        <w:ind w:firstLine="708"/>
        <w:jc w:val="both"/>
        <w:rPr>
          <w:rFonts w:ascii="Times New Roman" w:hAnsi="Times New Roman" w:cs="Times New Roman"/>
          <w:sz w:val="28"/>
          <w:szCs w:val="28"/>
          <w:lang w:eastAsia="ru-RU"/>
        </w:rPr>
      </w:pPr>
      <w:r w:rsidRPr="009A1F4A">
        <w:rPr>
          <w:rFonts w:ascii="Times New Roman" w:hAnsi="Times New Roman" w:cs="Times New Roman"/>
          <w:sz w:val="28"/>
          <w:szCs w:val="28"/>
          <w:lang w:eastAsia="ru-RU"/>
        </w:rPr>
        <w:t>В целях сохранения социальной стабильности, а также защиты населения от высоких тарифов на товары (услуги) предпринимателей, сельхозпроизводителей и жилищно-коммунальных предприятий, подпрограммой 4 «Обеспечение равных прав потребителей на получение энергетических ресурсов» Государственной программы  предусмотрено предоставление муниципальным районам межбюджетных трансфертов на возмещение недополученных доходов организациям, осуществляющим реализацию электрической энергии населению и приравненным категориям потребителей,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p w:rsidR="0020309F" w:rsidRPr="009A1F4A" w:rsidRDefault="0020309F" w:rsidP="0020309F">
      <w:pPr>
        <w:spacing w:after="0" w:line="240" w:lineRule="auto"/>
        <w:ind w:firstLine="709"/>
        <w:jc w:val="both"/>
        <w:rPr>
          <w:rFonts w:ascii="Times New Roman" w:hAnsi="Times New Roman" w:cs="Times New Roman"/>
          <w:sz w:val="28"/>
          <w:szCs w:val="28"/>
          <w:lang w:eastAsia="ru-RU"/>
        </w:rPr>
      </w:pPr>
      <w:r w:rsidRPr="009A1F4A">
        <w:rPr>
          <w:rFonts w:ascii="Times New Roman" w:hAnsi="Times New Roman" w:cs="Times New Roman"/>
          <w:sz w:val="28"/>
          <w:szCs w:val="28"/>
          <w:lang w:eastAsia="ru-RU"/>
        </w:rPr>
        <w:t>Общий плановый объем финансирования мероприятий Государственной программы в сфере электроэнергетики на 2014 год составляет 4,2 млрд. рублей, в том числе:</w:t>
      </w:r>
    </w:p>
    <w:p w:rsidR="0020309F" w:rsidRPr="009A1F4A" w:rsidRDefault="0020309F" w:rsidP="0020309F">
      <w:pPr>
        <w:spacing w:after="0" w:line="240" w:lineRule="auto"/>
        <w:ind w:firstLine="709"/>
        <w:jc w:val="both"/>
        <w:rPr>
          <w:rFonts w:ascii="Times New Roman" w:hAnsi="Times New Roman" w:cs="Times New Roman"/>
          <w:sz w:val="28"/>
          <w:szCs w:val="28"/>
          <w:lang w:eastAsia="ru-RU"/>
        </w:rPr>
      </w:pPr>
      <w:r w:rsidRPr="009A1F4A">
        <w:rPr>
          <w:rFonts w:ascii="Times New Roman" w:hAnsi="Times New Roman" w:cs="Times New Roman"/>
          <w:sz w:val="28"/>
          <w:szCs w:val="28"/>
          <w:lang w:eastAsia="ru-RU"/>
        </w:rPr>
        <w:t>- средства бюджета автономного округа – 620,5 млн. рублей,</w:t>
      </w:r>
    </w:p>
    <w:p w:rsidR="0020309F" w:rsidRPr="009A1F4A" w:rsidRDefault="0020309F" w:rsidP="0020309F">
      <w:pPr>
        <w:spacing w:after="0" w:line="240" w:lineRule="auto"/>
        <w:ind w:firstLine="709"/>
        <w:jc w:val="both"/>
        <w:rPr>
          <w:rFonts w:ascii="Times New Roman" w:hAnsi="Times New Roman" w:cs="Times New Roman"/>
          <w:sz w:val="28"/>
          <w:szCs w:val="28"/>
          <w:lang w:eastAsia="ru-RU"/>
        </w:rPr>
      </w:pPr>
      <w:r w:rsidRPr="009A1F4A">
        <w:rPr>
          <w:rFonts w:ascii="Times New Roman" w:hAnsi="Times New Roman" w:cs="Times New Roman"/>
          <w:sz w:val="28"/>
          <w:szCs w:val="28"/>
          <w:lang w:eastAsia="ru-RU"/>
        </w:rPr>
        <w:t>- средства муниципальных бюджетов – 95 млн. рублей;</w:t>
      </w:r>
    </w:p>
    <w:p w:rsidR="0020309F" w:rsidRPr="009A1F4A" w:rsidRDefault="0020309F" w:rsidP="0020309F">
      <w:pPr>
        <w:spacing w:after="0" w:line="240" w:lineRule="auto"/>
        <w:ind w:firstLine="709"/>
        <w:jc w:val="both"/>
        <w:rPr>
          <w:rFonts w:ascii="Times New Roman" w:hAnsi="Times New Roman" w:cs="Times New Roman"/>
          <w:sz w:val="28"/>
          <w:szCs w:val="28"/>
          <w:lang w:eastAsia="ru-RU"/>
        </w:rPr>
      </w:pPr>
      <w:r w:rsidRPr="009A1F4A">
        <w:rPr>
          <w:rFonts w:ascii="Times New Roman" w:hAnsi="Times New Roman" w:cs="Times New Roman"/>
          <w:sz w:val="28"/>
          <w:szCs w:val="28"/>
          <w:lang w:eastAsia="ru-RU"/>
        </w:rPr>
        <w:t>- внебюджетные средства – 3,5 млрд. рублей.</w:t>
      </w:r>
    </w:p>
    <w:p w:rsidR="0020309F" w:rsidRPr="009A1F4A" w:rsidRDefault="0020309F" w:rsidP="0020309F">
      <w:pPr>
        <w:spacing w:after="0" w:line="240" w:lineRule="auto"/>
        <w:ind w:firstLine="709"/>
        <w:jc w:val="both"/>
        <w:rPr>
          <w:rFonts w:ascii="Times New Roman" w:hAnsi="Times New Roman" w:cs="Times New Roman"/>
          <w:sz w:val="28"/>
          <w:szCs w:val="28"/>
          <w:lang w:eastAsia="ru-RU"/>
        </w:rPr>
      </w:pPr>
      <w:r w:rsidRPr="009A1F4A">
        <w:rPr>
          <w:rFonts w:ascii="Times New Roman" w:hAnsi="Times New Roman" w:cs="Times New Roman"/>
          <w:sz w:val="28"/>
          <w:szCs w:val="28"/>
          <w:lang w:eastAsia="ru-RU"/>
        </w:rPr>
        <w:t>Исполнение по мероприятиям в сфере электроэнергетики за 2014 год составило 4,1 млрд. рублей или 98,6 % к плану на 2014 год.</w:t>
      </w:r>
    </w:p>
    <w:p w:rsidR="0020309F" w:rsidRPr="009A1F4A" w:rsidRDefault="0020309F" w:rsidP="0020309F">
      <w:pPr>
        <w:spacing w:after="0" w:line="240" w:lineRule="auto"/>
        <w:ind w:firstLine="708"/>
        <w:jc w:val="both"/>
        <w:rPr>
          <w:rFonts w:ascii="Times New Roman" w:hAnsi="Times New Roman" w:cs="Times New Roman"/>
          <w:sz w:val="28"/>
          <w:szCs w:val="28"/>
          <w:lang w:eastAsia="ru-RU"/>
        </w:rPr>
      </w:pPr>
      <w:r w:rsidRPr="009A1F4A">
        <w:rPr>
          <w:rFonts w:ascii="Times New Roman" w:hAnsi="Times New Roman" w:cs="Times New Roman"/>
          <w:sz w:val="28"/>
          <w:szCs w:val="28"/>
          <w:lang w:eastAsia="ru-RU"/>
        </w:rPr>
        <w:t>Мероприятия 4.3 и 4.4 Государственной программы - предоставление муниципальным районам межбюджетных трансфертов на возмещение недополученных доходов организациям, осуществляющим реализацию электрической энергии населению и приравненным категориям потребителей,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p w:rsidR="0020309F" w:rsidRPr="009A1F4A" w:rsidRDefault="0020309F" w:rsidP="0020309F">
      <w:pPr>
        <w:spacing w:after="0" w:line="240" w:lineRule="auto"/>
        <w:ind w:firstLine="708"/>
        <w:jc w:val="both"/>
        <w:rPr>
          <w:rFonts w:ascii="Times New Roman" w:hAnsi="Times New Roman" w:cs="Times New Roman"/>
          <w:sz w:val="28"/>
          <w:szCs w:val="28"/>
          <w:lang w:eastAsia="ru-RU"/>
        </w:rPr>
      </w:pPr>
      <w:r w:rsidRPr="009A1F4A">
        <w:rPr>
          <w:rFonts w:ascii="Times New Roman" w:hAnsi="Times New Roman" w:cs="Times New Roman"/>
          <w:sz w:val="28"/>
          <w:szCs w:val="28"/>
          <w:lang w:eastAsia="ru-RU"/>
        </w:rPr>
        <w:t>В 2014 году на возмещение недополученных доходов гарантирующим поставщикам в децентрализованной зоне электроснабжения согласно уточненного плана финансирования из бюджета автономного округа 7 муниципальным районам предусмотрено 617 млн. рублей.</w:t>
      </w:r>
    </w:p>
    <w:p w:rsidR="0020309F" w:rsidRPr="009A1F4A" w:rsidRDefault="0020309F" w:rsidP="0020309F">
      <w:pPr>
        <w:spacing w:after="0" w:line="240" w:lineRule="auto"/>
        <w:ind w:firstLine="708"/>
        <w:jc w:val="both"/>
        <w:rPr>
          <w:rFonts w:ascii="Times New Roman" w:hAnsi="Times New Roman" w:cs="Times New Roman"/>
          <w:sz w:val="28"/>
          <w:szCs w:val="28"/>
          <w:lang w:eastAsia="ru-RU"/>
        </w:rPr>
      </w:pPr>
      <w:r w:rsidRPr="009A1F4A">
        <w:rPr>
          <w:rFonts w:ascii="Times New Roman" w:hAnsi="Times New Roman" w:cs="Times New Roman"/>
          <w:sz w:val="28"/>
          <w:szCs w:val="28"/>
          <w:lang w:eastAsia="ru-RU"/>
        </w:rPr>
        <w:t>По состоянию на 1 января 2015 года в бюджеты муниципальных районов перечислено 100 % предусмотренных бюджетных ассигнований, в том числе:</w:t>
      </w:r>
    </w:p>
    <w:p w:rsidR="0020309F" w:rsidRPr="009A1F4A" w:rsidRDefault="0020309F" w:rsidP="0020309F">
      <w:pPr>
        <w:spacing w:after="0" w:line="240" w:lineRule="auto"/>
        <w:ind w:firstLine="708"/>
        <w:jc w:val="both"/>
        <w:rPr>
          <w:rFonts w:ascii="Times New Roman" w:hAnsi="Times New Roman" w:cs="Times New Roman"/>
          <w:sz w:val="28"/>
          <w:szCs w:val="28"/>
          <w:lang w:eastAsia="ru-RU"/>
        </w:rPr>
      </w:pPr>
      <w:r w:rsidRPr="009A1F4A">
        <w:rPr>
          <w:rFonts w:ascii="Times New Roman" w:hAnsi="Times New Roman" w:cs="Times New Roman"/>
          <w:sz w:val="28"/>
          <w:szCs w:val="28"/>
          <w:lang w:eastAsia="ru-RU"/>
        </w:rPr>
        <w:t xml:space="preserve">- субвенции муниципальным образованиям на возмещение недополученных доходов организациям, осуществляющим реализацию </w:t>
      </w:r>
      <w:r w:rsidRPr="009A1F4A">
        <w:rPr>
          <w:rFonts w:ascii="Times New Roman" w:hAnsi="Times New Roman" w:cs="Times New Roman"/>
          <w:sz w:val="28"/>
          <w:szCs w:val="28"/>
          <w:lang w:eastAsia="ru-RU"/>
        </w:rPr>
        <w:lastRenderedPageBreak/>
        <w:t>электрической энергии населению и приравненным категориям потребителей, в сумме 474,8 млн. рублей;</w:t>
      </w:r>
    </w:p>
    <w:p w:rsidR="0020309F" w:rsidRPr="009A1F4A" w:rsidRDefault="0020309F" w:rsidP="0020309F">
      <w:pPr>
        <w:spacing w:after="0" w:line="240" w:lineRule="auto"/>
        <w:ind w:firstLine="708"/>
        <w:jc w:val="both"/>
        <w:rPr>
          <w:rFonts w:ascii="Times New Roman" w:hAnsi="Times New Roman" w:cs="Times New Roman"/>
          <w:sz w:val="28"/>
          <w:szCs w:val="28"/>
          <w:lang w:eastAsia="ru-RU"/>
        </w:rPr>
      </w:pPr>
      <w:r w:rsidRPr="009A1F4A">
        <w:rPr>
          <w:rFonts w:ascii="Times New Roman" w:hAnsi="Times New Roman" w:cs="Times New Roman"/>
          <w:sz w:val="28"/>
          <w:szCs w:val="28"/>
          <w:lang w:eastAsia="ru-RU"/>
        </w:rPr>
        <w:t>- субсидии муниципальным образованиям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 в сумме 142,4 млн. рублей.</w:t>
      </w:r>
    </w:p>
    <w:p w:rsidR="0020309F" w:rsidRPr="009A1F4A" w:rsidRDefault="0020309F" w:rsidP="0020309F">
      <w:pPr>
        <w:spacing w:after="0" w:line="240" w:lineRule="auto"/>
        <w:ind w:firstLine="708"/>
        <w:jc w:val="both"/>
        <w:rPr>
          <w:rFonts w:ascii="Times New Roman" w:hAnsi="Times New Roman" w:cs="Times New Roman"/>
          <w:sz w:val="28"/>
          <w:szCs w:val="28"/>
          <w:lang w:eastAsia="ru-RU"/>
        </w:rPr>
      </w:pPr>
      <w:r w:rsidRPr="009A1F4A">
        <w:rPr>
          <w:rFonts w:ascii="Times New Roman" w:hAnsi="Times New Roman" w:cs="Times New Roman"/>
          <w:sz w:val="28"/>
          <w:szCs w:val="28"/>
          <w:lang w:eastAsia="ru-RU"/>
        </w:rPr>
        <w:t xml:space="preserve">По состоянию на 1 января 2015 года из бюджетов муниципальных районов на </w:t>
      </w:r>
      <w:proofErr w:type="spellStart"/>
      <w:r w:rsidRPr="009A1F4A">
        <w:rPr>
          <w:rFonts w:ascii="Times New Roman" w:hAnsi="Times New Roman" w:cs="Times New Roman"/>
          <w:sz w:val="28"/>
          <w:szCs w:val="28"/>
          <w:lang w:eastAsia="ru-RU"/>
        </w:rPr>
        <w:t>софинансирование</w:t>
      </w:r>
      <w:proofErr w:type="spellEnd"/>
      <w:r w:rsidRPr="009A1F4A">
        <w:rPr>
          <w:rFonts w:ascii="Times New Roman" w:hAnsi="Times New Roman" w:cs="Times New Roman"/>
          <w:sz w:val="28"/>
          <w:szCs w:val="28"/>
          <w:lang w:eastAsia="ru-RU"/>
        </w:rPr>
        <w:t xml:space="preserve"> по данному мероприятию перечислено 109,9 млн. рублей или 115,8 % от запланированного финансирования. Превышение плановых значений обусловлено погашением кредиторской задолженности бюджетов Березовского и </w:t>
      </w:r>
      <w:proofErr w:type="spellStart"/>
      <w:r w:rsidRPr="009A1F4A">
        <w:rPr>
          <w:rFonts w:ascii="Times New Roman" w:hAnsi="Times New Roman" w:cs="Times New Roman"/>
          <w:sz w:val="28"/>
          <w:szCs w:val="28"/>
          <w:lang w:eastAsia="ru-RU"/>
        </w:rPr>
        <w:t>Кондинского</w:t>
      </w:r>
      <w:proofErr w:type="spellEnd"/>
      <w:r w:rsidRPr="009A1F4A">
        <w:rPr>
          <w:rFonts w:ascii="Times New Roman" w:hAnsi="Times New Roman" w:cs="Times New Roman"/>
          <w:sz w:val="28"/>
          <w:szCs w:val="28"/>
          <w:lang w:eastAsia="ru-RU"/>
        </w:rPr>
        <w:t xml:space="preserve"> районов доли </w:t>
      </w:r>
      <w:proofErr w:type="spellStart"/>
      <w:r w:rsidRPr="009A1F4A">
        <w:rPr>
          <w:rFonts w:ascii="Times New Roman" w:hAnsi="Times New Roman" w:cs="Times New Roman"/>
          <w:sz w:val="28"/>
          <w:szCs w:val="28"/>
          <w:lang w:eastAsia="ru-RU"/>
        </w:rPr>
        <w:t>софинансирования</w:t>
      </w:r>
      <w:proofErr w:type="spellEnd"/>
      <w:r w:rsidRPr="009A1F4A">
        <w:rPr>
          <w:rFonts w:ascii="Times New Roman" w:hAnsi="Times New Roman" w:cs="Times New Roman"/>
          <w:sz w:val="28"/>
          <w:szCs w:val="28"/>
          <w:lang w:eastAsia="ru-RU"/>
        </w:rPr>
        <w:t xml:space="preserve"> за 2013 год перед гарантирующими поставщиками.</w:t>
      </w:r>
    </w:p>
    <w:p w:rsidR="0020309F" w:rsidRPr="009A1F4A" w:rsidRDefault="0020309F" w:rsidP="0020309F">
      <w:pPr>
        <w:spacing w:after="0" w:line="240" w:lineRule="auto"/>
        <w:ind w:firstLine="708"/>
        <w:jc w:val="both"/>
        <w:rPr>
          <w:rFonts w:ascii="Times New Roman" w:hAnsi="Times New Roman" w:cs="Times New Roman"/>
          <w:sz w:val="28"/>
          <w:szCs w:val="28"/>
          <w:lang w:eastAsia="ru-RU"/>
        </w:rPr>
      </w:pPr>
      <w:r w:rsidRPr="009A1F4A">
        <w:rPr>
          <w:rFonts w:ascii="Times New Roman" w:hAnsi="Times New Roman" w:cs="Times New Roman"/>
          <w:sz w:val="28"/>
          <w:szCs w:val="28"/>
          <w:lang w:eastAsia="ru-RU"/>
        </w:rPr>
        <w:t>За четыре года с начала оказания данного вида господдержки с 2011 года до 2015 года общий объем средств из окружного бюджета, направленных на эти цели составил свыше 2 млрд. 380 млн. рублей.</w:t>
      </w:r>
    </w:p>
    <w:p w:rsidR="0020309F" w:rsidRPr="009A1F4A" w:rsidRDefault="0020309F" w:rsidP="0020309F">
      <w:pPr>
        <w:spacing w:after="0" w:line="240" w:lineRule="auto"/>
        <w:ind w:firstLine="708"/>
        <w:jc w:val="both"/>
        <w:rPr>
          <w:rFonts w:ascii="Times New Roman" w:hAnsi="Times New Roman" w:cs="Times New Roman"/>
          <w:sz w:val="28"/>
          <w:szCs w:val="28"/>
          <w:lang w:eastAsia="ru-RU"/>
        </w:rPr>
      </w:pPr>
      <w:r w:rsidRPr="009A1F4A">
        <w:rPr>
          <w:rFonts w:ascii="Times New Roman" w:hAnsi="Times New Roman" w:cs="Times New Roman"/>
          <w:sz w:val="28"/>
          <w:szCs w:val="28"/>
          <w:lang w:eastAsia="ru-RU"/>
        </w:rPr>
        <w:t>Мероприятие 5.1 Государственной программы – Строительство электросетевых объектов.</w:t>
      </w:r>
    </w:p>
    <w:p w:rsidR="0020309F" w:rsidRPr="009A1F4A" w:rsidRDefault="0020309F" w:rsidP="0020309F">
      <w:pPr>
        <w:spacing w:after="0" w:line="240" w:lineRule="auto"/>
        <w:ind w:firstLine="708"/>
        <w:jc w:val="both"/>
        <w:rPr>
          <w:rFonts w:ascii="Times New Roman" w:hAnsi="Times New Roman" w:cs="Times New Roman"/>
          <w:sz w:val="28"/>
          <w:szCs w:val="28"/>
          <w:lang w:eastAsia="ru-RU"/>
        </w:rPr>
      </w:pPr>
      <w:r w:rsidRPr="009A1F4A">
        <w:rPr>
          <w:rFonts w:ascii="Times New Roman" w:hAnsi="Times New Roman" w:cs="Times New Roman"/>
          <w:sz w:val="28"/>
          <w:szCs w:val="28"/>
          <w:lang w:eastAsia="ru-RU"/>
        </w:rPr>
        <w:t xml:space="preserve">Для перевода на централизованное электроснабжение населенных пунктов в 2014 году по инвестиционной программе </w:t>
      </w:r>
      <w:proofErr w:type="spellStart"/>
      <w:r w:rsidRPr="009A1F4A">
        <w:rPr>
          <w:rFonts w:ascii="Times New Roman" w:hAnsi="Times New Roman" w:cs="Times New Roman"/>
          <w:sz w:val="28"/>
          <w:szCs w:val="28"/>
          <w:lang w:eastAsia="ru-RU"/>
        </w:rPr>
        <w:t>ОАО</w:t>
      </w:r>
      <w:proofErr w:type="spellEnd"/>
      <w:r w:rsidRPr="009A1F4A">
        <w:rPr>
          <w:rFonts w:ascii="Times New Roman" w:hAnsi="Times New Roman" w:cs="Times New Roman"/>
          <w:sz w:val="28"/>
          <w:szCs w:val="28"/>
          <w:lang w:eastAsia="ru-RU"/>
        </w:rPr>
        <w:t xml:space="preserve"> «</w:t>
      </w:r>
      <w:proofErr w:type="spellStart"/>
      <w:r w:rsidRPr="009A1F4A">
        <w:rPr>
          <w:rFonts w:ascii="Times New Roman" w:hAnsi="Times New Roman" w:cs="Times New Roman"/>
          <w:sz w:val="28"/>
          <w:szCs w:val="28"/>
          <w:lang w:eastAsia="ru-RU"/>
        </w:rPr>
        <w:t>ЮРЭСК</w:t>
      </w:r>
      <w:proofErr w:type="spellEnd"/>
      <w:r w:rsidRPr="009A1F4A">
        <w:rPr>
          <w:rFonts w:ascii="Times New Roman" w:hAnsi="Times New Roman" w:cs="Times New Roman"/>
          <w:sz w:val="28"/>
          <w:szCs w:val="28"/>
          <w:lang w:eastAsia="ru-RU"/>
        </w:rPr>
        <w:t>» за счет привлеченных средств запланировано проектирование и строительство общим объемом инвестиций 574,7 млн. рублей. Исполнение по данному мероприятию составляет 520,2 млн. рублей или 90,5 % к годовому плану.</w:t>
      </w:r>
    </w:p>
    <w:p w:rsidR="0020309F" w:rsidRPr="009A1F4A" w:rsidRDefault="0020309F" w:rsidP="0020309F">
      <w:pPr>
        <w:spacing w:after="0" w:line="240" w:lineRule="auto"/>
        <w:ind w:firstLine="708"/>
        <w:jc w:val="both"/>
        <w:rPr>
          <w:rFonts w:ascii="Times New Roman" w:hAnsi="Times New Roman" w:cs="Times New Roman"/>
          <w:sz w:val="28"/>
          <w:szCs w:val="28"/>
          <w:lang w:eastAsia="ru-RU"/>
        </w:rPr>
      </w:pPr>
      <w:r w:rsidRPr="009A1F4A">
        <w:rPr>
          <w:rFonts w:ascii="Times New Roman" w:hAnsi="Times New Roman" w:cs="Times New Roman"/>
          <w:sz w:val="28"/>
          <w:szCs w:val="28"/>
          <w:lang w:eastAsia="ru-RU"/>
        </w:rPr>
        <w:t xml:space="preserve">В 2014 году к зоне централизованного электроснабжения были присоединены 5 населенных пунктов: д. </w:t>
      </w:r>
      <w:proofErr w:type="spellStart"/>
      <w:r w:rsidRPr="009A1F4A">
        <w:rPr>
          <w:rFonts w:ascii="Times New Roman" w:hAnsi="Times New Roman" w:cs="Times New Roman"/>
          <w:sz w:val="28"/>
          <w:szCs w:val="28"/>
          <w:lang w:eastAsia="ru-RU"/>
        </w:rPr>
        <w:t>Деминская</w:t>
      </w:r>
      <w:proofErr w:type="spellEnd"/>
      <w:r w:rsidRPr="009A1F4A">
        <w:rPr>
          <w:rFonts w:ascii="Times New Roman" w:hAnsi="Times New Roman" w:cs="Times New Roman"/>
          <w:sz w:val="28"/>
          <w:szCs w:val="28"/>
          <w:lang w:eastAsia="ru-RU"/>
        </w:rPr>
        <w:t xml:space="preserve">, д. </w:t>
      </w:r>
      <w:proofErr w:type="spellStart"/>
      <w:r w:rsidRPr="009A1F4A">
        <w:rPr>
          <w:rFonts w:ascii="Times New Roman" w:hAnsi="Times New Roman" w:cs="Times New Roman"/>
          <w:sz w:val="28"/>
          <w:szCs w:val="28"/>
          <w:lang w:eastAsia="ru-RU"/>
        </w:rPr>
        <w:t>Пугоры</w:t>
      </w:r>
      <w:proofErr w:type="spellEnd"/>
      <w:r w:rsidRPr="009A1F4A">
        <w:rPr>
          <w:rFonts w:ascii="Times New Roman" w:hAnsi="Times New Roman" w:cs="Times New Roman"/>
          <w:sz w:val="28"/>
          <w:szCs w:val="28"/>
          <w:lang w:eastAsia="ru-RU"/>
        </w:rPr>
        <w:t xml:space="preserve"> (Березовский район), д. Нижние </w:t>
      </w:r>
      <w:proofErr w:type="spellStart"/>
      <w:r w:rsidRPr="009A1F4A">
        <w:rPr>
          <w:rFonts w:ascii="Times New Roman" w:hAnsi="Times New Roman" w:cs="Times New Roman"/>
          <w:sz w:val="28"/>
          <w:szCs w:val="28"/>
          <w:lang w:eastAsia="ru-RU"/>
        </w:rPr>
        <w:t>Нарыкары</w:t>
      </w:r>
      <w:proofErr w:type="spellEnd"/>
      <w:r w:rsidRPr="009A1F4A">
        <w:rPr>
          <w:rFonts w:ascii="Times New Roman" w:hAnsi="Times New Roman" w:cs="Times New Roman"/>
          <w:sz w:val="28"/>
          <w:szCs w:val="28"/>
          <w:lang w:eastAsia="ru-RU"/>
        </w:rPr>
        <w:t xml:space="preserve"> (Октябрьский район), д. </w:t>
      </w:r>
      <w:proofErr w:type="spellStart"/>
      <w:r w:rsidRPr="009A1F4A">
        <w:rPr>
          <w:rFonts w:ascii="Times New Roman" w:hAnsi="Times New Roman" w:cs="Times New Roman"/>
          <w:sz w:val="28"/>
          <w:szCs w:val="28"/>
          <w:lang w:eastAsia="ru-RU"/>
        </w:rPr>
        <w:t>Тайлакова</w:t>
      </w:r>
      <w:proofErr w:type="spellEnd"/>
      <w:r w:rsidRPr="009A1F4A">
        <w:rPr>
          <w:rFonts w:ascii="Times New Roman" w:hAnsi="Times New Roman" w:cs="Times New Roman"/>
          <w:sz w:val="28"/>
          <w:szCs w:val="28"/>
          <w:lang w:eastAsia="ru-RU"/>
        </w:rPr>
        <w:t xml:space="preserve"> (</w:t>
      </w:r>
      <w:proofErr w:type="spellStart"/>
      <w:r w:rsidRPr="009A1F4A">
        <w:rPr>
          <w:rFonts w:ascii="Times New Roman" w:hAnsi="Times New Roman" w:cs="Times New Roman"/>
          <w:sz w:val="28"/>
          <w:szCs w:val="28"/>
          <w:lang w:eastAsia="ru-RU"/>
        </w:rPr>
        <w:t>Сургутский</w:t>
      </w:r>
      <w:proofErr w:type="spellEnd"/>
      <w:r w:rsidRPr="009A1F4A">
        <w:rPr>
          <w:rFonts w:ascii="Times New Roman" w:hAnsi="Times New Roman" w:cs="Times New Roman"/>
          <w:sz w:val="28"/>
          <w:szCs w:val="28"/>
          <w:lang w:eastAsia="ru-RU"/>
        </w:rPr>
        <w:t xml:space="preserve"> район), д. </w:t>
      </w:r>
      <w:proofErr w:type="spellStart"/>
      <w:r w:rsidRPr="009A1F4A">
        <w:rPr>
          <w:rFonts w:ascii="Times New Roman" w:hAnsi="Times New Roman" w:cs="Times New Roman"/>
          <w:sz w:val="28"/>
          <w:szCs w:val="28"/>
          <w:lang w:eastAsia="ru-RU"/>
        </w:rPr>
        <w:t>Чембакчина</w:t>
      </w:r>
      <w:proofErr w:type="spellEnd"/>
      <w:r w:rsidRPr="009A1F4A">
        <w:rPr>
          <w:rFonts w:ascii="Times New Roman" w:hAnsi="Times New Roman" w:cs="Times New Roman"/>
          <w:sz w:val="28"/>
          <w:szCs w:val="28"/>
          <w:lang w:eastAsia="ru-RU"/>
        </w:rPr>
        <w:t xml:space="preserve"> (Ханты-Мансийский район). По итогам 2014 года общее количество населенных пунктов, присоединенных к зоне централизованного электроснабжения, достигло 155, и их доля достигла 75 % от общего количества населенных пунктов Югры, что соответствует плановым значениям указанных целевых показателей.</w:t>
      </w:r>
    </w:p>
    <w:p w:rsidR="0020309F" w:rsidRPr="009A1F4A" w:rsidRDefault="0020309F" w:rsidP="0020309F">
      <w:pPr>
        <w:spacing w:after="0" w:line="240" w:lineRule="auto"/>
        <w:ind w:firstLine="708"/>
        <w:jc w:val="both"/>
        <w:rPr>
          <w:rFonts w:ascii="Times New Roman" w:hAnsi="Times New Roman" w:cs="Times New Roman"/>
          <w:sz w:val="28"/>
          <w:szCs w:val="28"/>
          <w:lang w:eastAsia="ru-RU"/>
        </w:rPr>
      </w:pPr>
      <w:r w:rsidRPr="009A1F4A">
        <w:rPr>
          <w:rFonts w:ascii="Times New Roman" w:hAnsi="Times New Roman" w:cs="Times New Roman"/>
          <w:sz w:val="28"/>
          <w:szCs w:val="28"/>
          <w:lang w:eastAsia="ru-RU"/>
        </w:rPr>
        <w:t xml:space="preserve">В 2015 году к зоне централизованного электроснабжения планируется присоединить 6 населенных пунктов: с. </w:t>
      </w:r>
      <w:proofErr w:type="spellStart"/>
      <w:r w:rsidRPr="009A1F4A">
        <w:rPr>
          <w:rFonts w:ascii="Times New Roman" w:hAnsi="Times New Roman" w:cs="Times New Roman"/>
          <w:sz w:val="28"/>
          <w:szCs w:val="28"/>
          <w:lang w:eastAsia="ru-RU"/>
        </w:rPr>
        <w:t>Кышик</w:t>
      </w:r>
      <w:proofErr w:type="spellEnd"/>
      <w:r w:rsidRPr="009A1F4A">
        <w:rPr>
          <w:rFonts w:ascii="Times New Roman" w:hAnsi="Times New Roman" w:cs="Times New Roman"/>
          <w:sz w:val="28"/>
          <w:szCs w:val="28"/>
          <w:lang w:eastAsia="ru-RU"/>
        </w:rPr>
        <w:t xml:space="preserve">, с. </w:t>
      </w:r>
      <w:proofErr w:type="spellStart"/>
      <w:r w:rsidRPr="009A1F4A">
        <w:rPr>
          <w:rFonts w:ascii="Times New Roman" w:hAnsi="Times New Roman" w:cs="Times New Roman"/>
          <w:sz w:val="28"/>
          <w:szCs w:val="28"/>
          <w:lang w:eastAsia="ru-RU"/>
        </w:rPr>
        <w:t>Зенково</w:t>
      </w:r>
      <w:proofErr w:type="spellEnd"/>
      <w:r w:rsidRPr="009A1F4A">
        <w:rPr>
          <w:rFonts w:ascii="Times New Roman" w:hAnsi="Times New Roman" w:cs="Times New Roman"/>
          <w:sz w:val="28"/>
          <w:szCs w:val="28"/>
          <w:lang w:eastAsia="ru-RU"/>
        </w:rPr>
        <w:t xml:space="preserve">, п. </w:t>
      </w:r>
      <w:proofErr w:type="spellStart"/>
      <w:r w:rsidRPr="009A1F4A">
        <w:rPr>
          <w:rFonts w:ascii="Times New Roman" w:hAnsi="Times New Roman" w:cs="Times New Roman"/>
          <w:sz w:val="28"/>
          <w:szCs w:val="28"/>
          <w:lang w:eastAsia="ru-RU"/>
        </w:rPr>
        <w:t>Пырьях</w:t>
      </w:r>
      <w:proofErr w:type="spellEnd"/>
      <w:r w:rsidRPr="009A1F4A">
        <w:rPr>
          <w:rFonts w:ascii="Times New Roman" w:hAnsi="Times New Roman" w:cs="Times New Roman"/>
          <w:sz w:val="28"/>
          <w:szCs w:val="28"/>
          <w:lang w:eastAsia="ru-RU"/>
        </w:rPr>
        <w:t xml:space="preserve">, д. </w:t>
      </w:r>
      <w:proofErr w:type="spellStart"/>
      <w:r w:rsidRPr="009A1F4A">
        <w:rPr>
          <w:rFonts w:ascii="Times New Roman" w:hAnsi="Times New Roman" w:cs="Times New Roman"/>
          <w:sz w:val="28"/>
          <w:szCs w:val="28"/>
          <w:lang w:eastAsia="ru-RU"/>
        </w:rPr>
        <w:t>Нялина</w:t>
      </w:r>
      <w:proofErr w:type="spellEnd"/>
      <w:r w:rsidRPr="009A1F4A">
        <w:rPr>
          <w:rFonts w:ascii="Times New Roman" w:hAnsi="Times New Roman" w:cs="Times New Roman"/>
          <w:sz w:val="28"/>
          <w:szCs w:val="28"/>
          <w:lang w:eastAsia="ru-RU"/>
        </w:rPr>
        <w:t xml:space="preserve"> (Ханты-Мансийский район), п. </w:t>
      </w:r>
      <w:proofErr w:type="spellStart"/>
      <w:r w:rsidRPr="009A1F4A">
        <w:rPr>
          <w:rFonts w:ascii="Times New Roman" w:hAnsi="Times New Roman" w:cs="Times New Roman"/>
          <w:sz w:val="28"/>
          <w:szCs w:val="28"/>
          <w:lang w:eastAsia="ru-RU"/>
        </w:rPr>
        <w:t>Устрем</w:t>
      </w:r>
      <w:proofErr w:type="spellEnd"/>
      <w:r w:rsidRPr="009A1F4A">
        <w:rPr>
          <w:rFonts w:ascii="Times New Roman" w:hAnsi="Times New Roman" w:cs="Times New Roman"/>
          <w:sz w:val="28"/>
          <w:szCs w:val="28"/>
          <w:lang w:eastAsia="ru-RU"/>
        </w:rPr>
        <w:t>, с. Теги (Березовский район).</w:t>
      </w:r>
    </w:p>
    <w:p w:rsidR="0020309F" w:rsidRPr="009A1F4A" w:rsidRDefault="0020309F" w:rsidP="0020309F">
      <w:pPr>
        <w:spacing w:after="0" w:line="240" w:lineRule="auto"/>
        <w:ind w:firstLine="708"/>
        <w:jc w:val="both"/>
        <w:rPr>
          <w:rFonts w:ascii="Times New Roman" w:hAnsi="Times New Roman" w:cs="Times New Roman"/>
          <w:sz w:val="28"/>
          <w:szCs w:val="28"/>
          <w:lang w:eastAsia="ru-RU"/>
        </w:rPr>
      </w:pPr>
      <w:r w:rsidRPr="009A1F4A">
        <w:rPr>
          <w:rFonts w:ascii="Times New Roman" w:hAnsi="Times New Roman" w:cs="Times New Roman"/>
          <w:sz w:val="28"/>
          <w:szCs w:val="28"/>
          <w:lang w:eastAsia="ru-RU"/>
        </w:rPr>
        <w:t xml:space="preserve">Оставшиеся 44 населенных пункта автономного округа с общим населением 15,0 тыс. человек переводить на централизованное электроснабжение не планируется в связи с экономической нецелесообразностью, а именно: небольшой численностью населения и, как следствие, низким объемом потребления электроэнергии, или вследствие значительной удалённости источников питания. Срок окупаемости капитальных вложений, необходимых для перевода на централизованное электроснабжение, составит более 100 лет, что превышает полезный срок использования объектов. Решение о способе электроснабжения данных </w:t>
      </w:r>
      <w:r w:rsidRPr="009A1F4A">
        <w:rPr>
          <w:rFonts w:ascii="Times New Roman" w:hAnsi="Times New Roman" w:cs="Times New Roman"/>
          <w:sz w:val="28"/>
          <w:szCs w:val="28"/>
          <w:lang w:eastAsia="ru-RU"/>
        </w:rPr>
        <w:lastRenderedPageBreak/>
        <w:t>населенных пунктов будет приниматься индивидуально исходя из его экономической целесообразности.</w:t>
      </w:r>
    </w:p>
    <w:p w:rsidR="0020309F" w:rsidRPr="009A1F4A" w:rsidRDefault="0020309F" w:rsidP="0020309F">
      <w:pPr>
        <w:spacing w:after="0" w:line="240" w:lineRule="auto"/>
        <w:ind w:firstLine="708"/>
        <w:jc w:val="both"/>
        <w:rPr>
          <w:rFonts w:ascii="Times New Roman" w:hAnsi="Times New Roman" w:cs="Times New Roman"/>
          <w:sz w:val="28"/>
          <w:szCs w:val="28"/>
          <w:lang w:eastAsia="ru-RU"/>
        </w:rPr>
      </w:pPr>
      <w:r w:rsidRPr="009A1F4A">
        <w:rPr>
          <w:rFonts w:ascii="Times New Roman" w:hAnsi="Times New Roman" w:cs="Times New Roman"/>
          <w:sz w:val="28"/>
          <w:szCs w:val="28"/>
          <w:lang w:eastAsia="ru-RU"/>
        </w:rPr>
        <w:t>Мероприятие 5.2 Государственной программы – Строительство электросетевых объектов в рамках инвестиционных программ субъектов электроэнергетики</w:t>
      </w:r>
    </w:p>
    <w:p w:rsidR="0020309F" w:rsidRPr="009A1F4A" w:rsidRDefault="0020309F" w:rsidP="0020309F">
      <w:pPr>
        <w:spacing w:after="0" w:line="240" w:lineRule="auto"/>
        <w:ind w:firstLine="708"/>
        <w:jc w:val="both"/>
        <w:rPr>
          <w:rFonts w:ascii="Times New Roman" w:hAnsi="Times New Roman" w:cs="Times New Roman"/>
          <w:sz w:val="28"/>
          <w:szCs w:val="28"/>
          <w:lang w:eastAsia="ru-RU"/>
        </w:rPr>
      </w:pPr>
      <w:r w:rsidRPr="009A1F4A">
        <w:rPr>
          <w:rFonts w:ascii="Times New Roman" w:hAnsi="Times New Roman" w:cs="Times New Roman"/>
          <w:sz w:val="28"/>
          <w:szCs w:val="28"/>
          <w:lang w:eastAsia="ru-RU"/>
        </w:rPr>
        <w:t>В 2014 году в рамках реализации инвестиционных программ субъектов электроэнергетики за счет привлеченных средств запланировано новое строительство электросетевых объектов для обеспечения надежного, качественного электроснабжения и подключения перспективных потребителей.</w:t>
      </w:r>
    </w:p>
    <w:p w:rsidR="0020309F" w:rsidRPr="009A1F4A" w:rsidRDefault="0020309F" w:rsidP="0020309F">
      <w:pPr>
        <w:spacing w:after="0" w:line="240" w:lineRule="auto"/>
        <w:ind w:firstLine="708"/>
        <w:jc w:val="both"/>
        <w:rPr>
          <w:rFonts w:ascii="Times New Roman" w:hAnsi="Times New Roman" w:cs="Times New Roman"/>
          <w:sz w:val="28"/>
          <w:szCs w:val="28"/>
          <w:lang w:eastAsia="ru-RU"/>
        </w:rPr>
      </w:pPr>
      <w:r w:rsidRPr="009A1F4A">
        <w:rPr>
          <w:rFonts w:ascii="Times New Roman" w:hAnsi="Times New Roman" w:cs="Times New Roman"/>
          <w:sz w:val="28"/>
          <w:szCs w:val="28"/>
          <w:lang w:eastAsia="ru-RU"/>
        </w:rPr>
        <w:t>В отчетном периоде по данному мероприятию направлено инвестиций в сумме 2,9 млрд. рублей или 99,6 % к годовому плану.</w:t>
      </w:r>
    </w:p>
    <w:p w:rsidR="0020309F" w:rsidRPr="009A1F4A" w:rsidRDefault="0020309F" w:rsidP="0020309F">
      <w:pPr>
        <w:spacing w:after="0" w:line="240" w:lineRule="auto"/>
        <w:ind w:firstLine="708"/>
        <w:jc w:val="both"/>
        <w:rPr>
          <w:rFonts w:ascii="Times New Roman" w:hAnsi="Times New Roman" w:cs="Times New Roman"/>
          <w:sz w:val="28"/>
          <w:szCs w:val="28"/>
          <w:lang w:eastAsia="ru-RU"/>
        </w:rPr>
      </w:pPr>
      <w:r w:rsidRPr="009A1F4A">
        <w:rPr>
          <w:rFonts w:ascii="Times New Roman" w:hAnsi="Times New Roman" w:cs="Times New Roman"/>
          <w:sz w:val="28"/>
          <w:szCs w:val="28"/>
          <w:lang w:eastAsia="ru-RU"/>
        </w:rPr>
        <w:t>Мероприятие 5.3 Государственной программы – Реконструкция систем электроснабжения в населенных пунктах муниципальных образований автономного округа.</w:t>
      </w:r>
    </w:p>
    <w:p w:rsidR="0020309F" w:rsidRPr="009A1F4A" w:rsidRDefault="0020309F" w:rsidP="0020309F">
      <w:pPr>
        <w:spacing w:after="0" w:line="240" w:lineRule="auto"/>
        <w:ind w:firstLine="708"/>
        <w:jc w:val="both"/>
        <w:rPr>
          <w:rFonts w:ascii="Times New Roman" w:hAnsi="Times New Roman" w:cs="Times New Roman"/>
          <w:sz w:val="28"/>
          <w:szCs w:val="28"/>
          <w:lang w:eastAsia="ru-RU"/>
        </w:rPr>
      </w:pPr>
      <w:r w:rsidRPr="009A1F4A">
        <w:rPr>
          <w:rFonts w:ascii="Times New Roman" w:hAnsi="Times New Roman" w:cs="Times New Roman"/>
          <w:sz w:val="28"/>
          <w:szCs w:val="28"/>
          <w:lang w:eastAsia="ru-RU"/>
        </w:rPr>
        <w:t xml:space="preserve">В 2014 году запланирована субсидия на </w:t>
      </w:r>
      <w:proofErr w:type="spellStart"/>
      <w:r w:rsidRPr="009A1F4A">
        <w:rPr>
          <w:rFonts w:ascii="Times New Roman" w:hAnsi="Times New Roman" w:cs="Times New Roman"/>
          <w:sz w:val="28"/>
          <w:szCs w:val="28"/>
          <w:lang w:eastAsia="ru-RU"/>
        </w:rPr>
        <w:t>софинансирование</w:t>
      </w:r>
      <w:proofErr w:type="spellEnd"/>
      <w:r w:rsidRPr="009A1F4A">
        <w:rPr>
          <w:rFonts w:ascii="Times New Roman" w:hAnsi="Times New Roman" w:cs="Times New Roman"/>
          <w:sz w:val="28"/>
          <w:szCs w:val="28"/>
          <w:lang w:eastAsia="ru-RU"/>
        </w:rPr>
        <w:t xml:space="preserve"> проектно-сметной документации по объекту «Комплексная реконструкция системы электроснабжения в </w:t>
      </w:r>
      <w:proofErr w:type="spellStart"/>
      <w:r w:rsidRPr="009A1F4A">
        <w:rPr>
          <w:rFonts w:ascii="Times New Roman" w:hAnsi="Times New Roman" w:cs="Times New Roman"/>
          <w:sz w:val="28"/>
          <w:szCs w:val="28"/>
          <w:lang w:eastAsia="ru-RU"/>
        </w:rPr>
        <w:t>п.Сосьва</w:t>
      </w:r>
      <w:proofErr w:type="spellEnd"/>
      <w:r w:rsidRPr="009A1F4A">
        <w:rPr>
          <w:rFonts w:ascii="Times New Roman" w:hAnsi="Times New Roman" w:cs="Times New Roman"/>
          <w:sz w:val="28"/>
          <w:szCs w:val="28"/>
          <w:lang w:eastAsia="ru-RU"/>
        </w:rPr>
        <w:t xml:space="preserve"> Березовского района», предусматривающая замену генерирующего оборудования и реконструкцию </w:t>
      </w:r>
      <w:proofErr w:type="spellStart"/>
      <w:r w:rsidRPr="009A1F4A">
        <w:rPr>
          <w:rFonts w:ascii="Times New Roman" w:hAnsi="Times New Roman" w:cs="Times New Roman"/>
          <w:sz w:val="28"/>
          <w:szCs w:val="28"/>
          <w:lang w:eastAsia="ru-RU"/>
        </w:rPr>
        <w:t>внутрипоселковых</w:t>
      </w:r>
      <w:proofErr w:type="spellEnd"/>
      <w:r w:rsidRPr="009A1F4A">
        <w:rPr>
          <w:rFonts w:ascii="Times New Roman" w:hAnsi="Times New Roman" w:cs="Times New Roman"/>
          <w:sz w:val="28"/>
          <w:szCs w:val="28"/>
          <w:lang w:eastAsia="ru-RU"/>
        </w:rPr>
        <w:t xml:space="preserve"> электрических сетей в сумме 3,4 млн. рублей.</w:t>
      </w:r>
    </w:p>
    <w:p w:rsidR="0020309F" w:rsidRPr="009A1F4A" w:rsidRDefault="0020309F" w:rsidP="0020309F">
      <w:pPr>
        <w:spacing w:after="0" w:line="240" w:lineRule="auto"/>
        <w:ind w:firstLine="708"/>
        <w:jc w:val="both"/>
        <w:rPr>
          <w:rFonts w:ascii="Times New Roman" w:hAnsi="Times New Roman" w:cs="Times New Roman"/>
          <w:sz w:val="28"/>
          <w:szCs w:val="28"/>
          <w:lang w:eastAsia="ru-RU"/>
        </w:rPr>
      </w:pPr>
      <w:proofErr w:type="spellStart"/>
      <w:r w:rsidRPr="009A1F4A">
        <w:rPr>
          <w:rFonts w:ascii="Times New Roman" w:hAnsi="Times New Roman" w:cs="Times New Roman"/>
          <w:sz w:val="28"/>
          <w:szCs w:val="28"/>
          <w:lang w:eastAsia="ru-RU"/>
        </w:rPr>
        <w:t>Софинансирование</w:t>
      </w:r>
      <w:proofErr w:type="spellEnd"/>
      <w:r w:rsidRPr="009A1F4A">
        <w:rPr>
          <w:rFonts w:ascii="Times New Roman" w:hAnsi="Times New Roman" w:cs="Times New Roman"/>
          <w:sz w:val="28"/>
          <w:szCs w:val="28"/>
          <w:lang w:eastAsia="ru-RU"/>
        </w:rPr>
        <w:t xml:space="preserve"> из бюджета автономного округа на исполнение муниципального контракта на проектно-изыскательные работы по объекту «Комплексная реконструкция системы электроснабжения </w:t>
      </w:r>
      <w:proofErr w:type="spellStart"/>
      <w:r w:rsidRPr="009A1F4A">
        <w:rPr>
          <w:rFonts w:ascii="Times New Roman" w:hAnsi="Times New Roman" w:cs="Times New Roman"/>
          <w:sz w:val="28"/>
          <w:szCs w:val="28"/>
          <w:lang w:eastAsia="ru-RU"/>
        </w:rPr>
        <w:t>п.Сосьва</w:t>
      </w:r>
      <w:proofErr w:type="spellEnd"/>
      <w:r w:rsidRPr="009A1F4A">
        <w:rPr>
          <w:rFonts w:ascii="Times New Roman" w:hAnsi="Times New Roman" w:cs="Times New Roman"/>
          <w:sz w:val="28"/>
          <w:szCs w:val="28"/>
          <w:lang w:eastAsia="ru-RU"/>
        </w:rPr>
        <w:t xml:space="preserve"> Березовского района» исполнено в полном объеме в сумме 3,4 млн. рублей.</w:t>
      </w:r>
    </w:p>
    <w:p w:rsidR="0020309F" w:rsidRPr="009A1F4A" w:rsidRDefault="0020309F" w:rsidP="0020309F">
      <w:pPr>
        <w:spacing w:after="0" w:line="240" w:lineRule="auto"/>
        <w:ind w:firstLine="709"/>
        <w:jc w:val="both"/>
        <w:rPr>
          <w:rFonts w:ascii="Times New Roman" w:hAnsi="Times New Roman" w:cs="Times New Roman"/>
          <w:sz w:val="28"/>
          <w:szCs w:val="28"/>
          <w:lang w:eastAsia="ru-RU"/>
        </w:rPr>
      </w:pPr>
      <w:r w:rsidRPr="009A1F4A">
        <w:rPr>
          <w:rFonts w:ascii="Times New Roman" w:hAnsi="Times New Roman" w:cs="Times New Roman"/>
          <w:sz w:val="28"/>
          <w:szCs w:val="28"/>
          <w:lang w:eastAsia="ru-RU"/>
        </w:rPr>
        <w:t>Общая информация о достигнутых результатах в отрасли.</w:t>
      </w:r>
    </w:p>
    <w:p w:rsidR="0020309F" w:rsidRPr="009A1F4A" w:rsidRDefault="0020309F" w:rsidP="0020309F">
      <w:pPr>
        <w:spacing w:after="0" w:line="240" w:lineRule="auto"/>
        <w:ind w:firstLine="708"/>
        <w:jc w:val="both"/>
        <w:rPr>
          <w:rFonts w:ascii="Times New Roman" w:hAnsi="Times New Roman" w:cs="Times New Roman"/>
          <w:sz w:val="28"/>
          <w:szCs w:val="28"/>
          <w:lang w:eastAsia="ru-RU"/>
        </w:rPr>
      </w:pPr>
      <w:r w:rsidRPr="009A1F4A">
        <w:rPr>
          <w:rFonts w:ascii="Times New Roman" w:hAnsi="Times New Roman" w:cs="Times New Roman"/>
          <w:sz w:val="28"/>
          <w:szCs w:val="28"/>
          <w:lang w:eastAsia="ru-RU"/>
        </w:rPr>
        <w:t xml:space="preserve">Югра занимает первое место среди субъектов Российской Федерации по объему выработки электроэнергии. Производство электроэнергии электростанциями автономного округа в 2014 году составило 89,1 млрд. </w:t>
      </w:r>
      <w:proofErr w:type="spellStart"/>
      <w:r w:rsidRPr="009A1F4A">
        <w:rPr>
          <w:rFonts w:ascii="Times New Roman" w:hAnsi="Times New Roman" w:cs="Times New Roman"/>
          <w:sz w:val="28"/>
          <w:szCs w:val="28"/>
          <w:lang w:eastAsia="ru-RU"/>
        </w:rPr>
        <w:t>кВт∙ч</w:t>
      </w:r>
      <w:proofErr w:type="spellEnd"/>
      <w:r w:rsidRPr="009A1F4A">
        <w:rPr>
          <w:rFonts w:ascii="Times New Roman" w:hAnsi="Times New Roman" w:cs="Times New Roman"/>
          <w:sz w:val="28"/>
          <w:szCs w:val="28"/>
          <w:lang w:eastAsia="ru-RU"/>
        </w:rPr>
        <w:t xml:space="preserve">, а суммарное потребление электроэнергии в Югре в 2014 году составило 70,6 млрд. </w:t>
      </w:r>
      <w:proofErr w:type="spellStart"/>
      <w:r w:rsidRPr="009A1F4A">
        <w:rPr>
          <w:rFonts w:ascii="Times New Roman" w:hAnsi="Times New Roman" w:cs="Times New Roman"/>
          <w:sz w:val="28"/>
          <w:szCs w:val="28"/>
          <w:lang w:eastAsia="ru-RU"/>
        </w:rPr>
        <w:t>кВт∙ч</w:t>
      </w:r>
      <w:proofErr w:type="spellEnd"/>
      <w:r w:rsidRPr="009A1F4A">
        <w:rPr>
          <w:rFonts w:ascii="Times New Roman" w:hAnsi="Times New Roman" w:cs="Times New Roman"/>
          <w:sz w:val="28"/>
          <w:szCs w:val="28"/>
          <w:lang w:eastAsia="ru-RU"/>
        </w:rPr>
        <w:t xml:space="preserve">. </w:t>
      </w:r>
    </w:p>
    <w:p w:rsidR="0020309F" w:rsidRPr="009A1F4A" w:rsidRDefault="0020309F" w:rsidP="0020309F">
      <w:pPr>
        <w:spacing w:after="0"/>
        <w:ind w:firstLine="708"/>
        <w:jc w:val="both"/>
        <w:rPr>
          <w:rFonts w:ascii="Times New Roman" w:hAnsi="Times New Roman" w:cs="Times New Roman"/>
          <w:sz w:val="28"/>
          <w:szCs w:val="28"/>
          <w:lang w:eastAsia="ru-RU"/>
        </w:rPr>
      </w:pPr>
      <w:r w:rsidRPr="009A1F4A">
        <w:rPr>
          <w:rFonts w:ascii="Times New Roman" w:hAnsi="Times New Roman" w:cs="Times New Roman"/>
          <w:sz w:val="28"/>
          <w:szCs w:val="28"/>
          <w:lang w:eastAsia="ru-RU"/>
        </w:rPr>
        <w:t xml:space="preserve">За 5 лет производство электроэнергии увеличилось на 14,6 млрд. </w:t>
      </w:r>
      <w:proofErr w:type="spellStart"/>
      <w:r w:rsidRPr="009A1F4A">
        <w:rPr>
          <w:rFonts w:ascii="Times New Roman" w:hAnsi="Times New Roman" w:cs="Times New Roman"/>
          <w:sz w:val="28"/>
          <w:szCs w:val="28"/>
          <w:lang w:eastAsia="ru-RU"/>
        </w:rPr>
        <w:t>кВт∙ч</w:t>
      </w:r>
      <w:proofErr w:type="spellEnd"/>
      <w:r w:rsidRPr="009A1F4A">
        <w:rPr>
          <w:rFonts w:ascii="Times New Roman" w:hAnsi="Times New Roman" w:cs="Times New Roman"/>
          <w:sz w:val="28"/>
          <w:szCs w:val="28"/>
          <w:lang w:eastAsia="ru-RU"/>
        </w:rPr>
        <w:t xml:space="preserve"> или на 20 %, потребление электроэнергии увеличилось на 6,7 млрд. </w:t>
      </w:r>
      <w:proofErr w:type="spellStart"/>
      <w:r w:rsidRPr="009A1F4A">
        <w:rPr>
          <w:rFonts w:ascii="Times New Roman" w:hAnsi="Times New Roman" w:cs="Times New Roman"/>
          <w:sz w:val="28"/>
          <w:szCs w:val="28"/>
          <w:lang w:eastAsia="ru-RU"/>
        </w:rPr>
        <w:t>кВт∙ч</w:t>
      </w:r>
      <w:proofErr w:type="spellEnd"/>
      <w:r w:rsidRPr="009A1F4A">
        <w:rPr>
          <w:rFonts w:ascii="Times New Roman" w:hAnsi="Times New Roman" w:cs="Times New Roman"/>
          <w:sz w:val="28"/>
          <w:szCs w:val="28"/>
          <w:lang w:eastAsia="ru-RU"/>
        </w:rPr>
        <w:t xml:space="preserve"> или на 10 %.</w:t>
      </w:r>
    </w:p>
    <w:p w:rsidR="0020309F" w:rsidRPr="009A1F4A" w:rsidRDefault="0020309F" w:rsidP="0020309F">
      <w:pPr>
        <w:spacing w:after="0" w:line="240" w:lineRule="auto"/>
        <w:ind w:firstLine="708"/>
        <w:jc w:val="both"/>
        <w:rPr>
          <w:rFonts w:ascii="Times New Roman" w:hAnsi="Times New Roman" w:cs="Times New Roman"/>
          <w:sz w:val="28"/>
          <w:szCs w:val="28"/>
          <w:lang w:eastAsia="ru-RU"/>
        </w:rPr>
      </w:pPr>
      <w:r w:rsidRPr="009A1F4A">
        <w:rPr>
          <w:rFonts w:ascii="Times New Roman" w:hAnsi="Times New Roman" w:cs="Times New Roman"/>
          <w:sz w:val="28"/>
          <w:szCs w:val="28"/>
          <w:lang w:eastAsia="ru-RU"/>
        </w:rPr>
        <w:t>Динамика производства и потребления электроэнергии за период с 2009 по 2014 годы представлена на диаграмме.</w:t>
      </w:r>
    </w:p>
    <w:p w:rsidR="0020309F" w:rsidRPr="009A1F4A" w:rsidRDefault="0020309F" w:rsidP="0020309F">
      <w:pPr>
        <w:spacing w:after="0" w:line="240" w:lineRule="auto"/>
        <w:ind w:firstLine="708"/>
        <w:jc w:val="center"/>
        <w:rPr>
          <w:rFonts w:ascii="Times New Roman" w:hAnsi="Times New Roman" w:cs="Times New Roman"/>
          <w:sz w:val="28"/>
          <w:szCs w:val="28"/>
          <w:lang w:eastAsia="ru-RU"/>
        </w:rPr>
      </w:pPr>
    </w:p>
    <w:tbl>
      <w:tblPr>
        <w:tblW w:w="9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27"/>
        <w:gridCol w:w="1068"/>
        <w:gridCol w:w="1046"/>
        <w:gridCol w:w="1051"/>
        <w:gridCol w:w="949"/>
        <w:gridCol w:w="938"/>
        <w:gridCol w:w="938"/>
      </w:tblGrid>
      <w:tr w:rsidR="0020309F" w:rsidRPr="009A1F4A" w:rsidTr="00E80C8C">
        <w:trPr>
          <w:trHeight w:val="513"/>
          <w:jc w:val="center"/>
        </w:trPr>
        <w:tc>
          <w:tcPr>
            <w:tcW w:w="3127" w:type="dxa"/>
            <w:vAlign w:val="center"/>
          </w:tcPr>
          <w:p w:rsidR="0020309F" w:rsidRPr="009A1F4A" w:rsidRDefault="0020309F" w:rsidP="00E80C8C">
            <w:pPr>
              <w:pStyle w:val="a4"/>
              <w:ind w:left="0" w:firstLine="0"/>
              <w:jc w:val="center"/>
              <w:rPr>
                <w:rFonts w:eastAsiaTheme="minorHAnsi"/>
                <w:sz w:val="28"/>
                <w:szCs w:val="28"/>
              </w:rPr>
            </w:pPr>
            <w:r w:rsidRPr="009A1F4A">
              <w:rPr>
                <w:rFonts w:eastAsiaTheme="minorHAnsi"/>
                <w:sz w:val="28"/>
                <w:szCs w:val="28"/>
              </w:rPr>
              <w:t>Наименование</w:t>
            </w:r>
            <w:r w:rsidRPr="009A1F4A">
              <w:rPr>
                <w:rFonts w:eastAsiaTheme="minorHAnsi"/>
                <w:sz w:val="28"/>
                <w:szCs w:val="28"/>
              </w:rPr>
              <w:br/>
              <w:t>показателя</w:t>
            </w:r>
          </w:p>
        </w:tc>
        <w:tc>
          <w:tcPr>
            <w:tcW w:w="1068" w:type="dxa"/>
            <w:vAlign w:val="center"/>
          </w:tcPr>
          <w:p w:rsidR="0020309F" w:rsidRPr="009A1F4A" w:rsidRDefault="0020309F" w:rsidP="00E80C8C">
            <w:pPr>
              <w:pStyle w:val="a4"/>
              <w:ind w:left="0" w:firstLine="0"/>
              <w:jc w:val="center"/>
              <w:rPr>
                <w:rFonts w:eastAsiaTheme="minorHAnsi"/>
                <w:sz w:val="28"/>
                <w:szCs w:val="28"/>
              </w:rPr>
            </w:pPr>
            <w:r w:rsidRPr="009A1F4A">
              <w:rPr>
                <w:rFonts w:eastAsiaTheme="minorHAnsi"/>
                <w:sz w:val="28"/>
                <w:szCs w:val="28"/>
              </w:rPr>
              <w:t>2009 г</w:t>
            </w:r>
          </w:p>
        </w:tc>
        <w:tc>
          <w:tcPr>
            <w:tcW w:w="1046" w:type="dxa"/>
            <w:vAlign w:val="center"/>
          </w:tcPr>
          <w:p w:rsidR="0020309F" w:rsidRPr="009A1F4A" w:rsidRDefault="0020309F" w:rsidP="00E80C8C">
            <w:pPr>
              <w:pStyle w:val="a4"/>
              <w:ind w:left="0" w:firstLine="0"/>
              <w:jc w:val="center"/>
              <w:rPr>
                <w:rFonts w:eastAsiaTheme="minorHAnsi"/>
                <w:sz w:val="28"/>
                <w:szCs w:val="28"/>
              </w:rPr>
            </w:pPr>
            <w:r w:rsidRPr="009A1F4A">
              <w:rPr>
                <w:rFonts w:eastAsiaTheme="minorHAnsi"/>
                <w:sz w:val="28"/>
                <w:szCs w:val="28"/>
              </w:rPr>
              <w:t>2010 г</w:t>
            </w:r>
          </w:p>
        </w:tc>
        <w:tc>
          <w:tcPr>
            <w:tcW w:w="1051" w:type="dxa"/>
            <w:vAlign w:val="center"/>
          </w:tcPr>
          <w:p w:rsidR="0020309F" w:rsidRPr="009A1F4A" w:rsidRDefault="0020309F" w:rsidP="00E80C8C">
            <w:pPr>
              <w:pStyle w:val="a4"/>
              <w:ind w:left="0" w:firstLine="0"/>
              <w:jc w:val="center"/>
              <w:rPr>
                <w:rFonts w:eastAsiaTheme="minorHAnsi"/>
                <w:sz w:val="28"/>
                <w:szCs w:val="28"/>
              </w:rPr>
            </w:pPr>
            <w:r w:rsidRPr="009A1F4A">
              <w:rPr>
                <w:rFonts w:eastAsiaTheme="minorHAnsi"/>
                <w:sz w:val="28"/>
                <w:szCs w:val="28"/>
              </w:rPr>
              <w:t>2011 г</w:t>
            </w:r>
          </w:p>
        </w:tc>
        <w:tc>
          <w:tcPr>
            <w:tcW w:w="949" w:type="dxa"/>
            <w:vAlign w:val="center"/>
          </w:tcPr>
          <w:p w:rsidR="0020309F" w:rsidRPr="009A1F4A" w:rsidRDefault="0020309F" w:rsidP="00E80C8C">
            <w:pPr>
              <w:pStyle w:val="a4"/>
              <w:ind w:left="0" w:firstLine="0"/>
              <w:jc w:val="center"/>
              <w:rPr>
                <w:rFonts w:eastAsiaTheme="minorHAnsi"/>
                <w:sz w:val="28"/>
                <w:szCs w:val="28"/>
              </w:rPr>
            </w:pPr>
            <w:r w:rsidRPr="009A1F4A">
              <w:rPr>
                <w:rFonts w:eastAsiaTheme="minorHAnsi"/>
                <w:sz w:val="28"/>
                <w:szCs w:val="28"/>
              </w:rPr>
              <w:t>2012 г</w:t>
            </w:r>
          </w:p>
        </w:tc>
        <w:tc>
          <w:tcPr>
            <w:tcW w:w="938" w:type="dxa"/>
            <w:vAlign w:val="center"/>
          </w:tcPr>
          <w:p w:rsidR="0020309F" w:rsidRPr="009A1F4A" w:rsidRDefault="0020309F" w:rsidP="00E80C8C">
            <w:pPr>
              <w:pStyle w:val="a4"/>
              <w:ind w:left="0" w:firstLine="0"/>
              <w:jc w:val="center"/>
              <w:rPr>
                <w:rFonts w:eastAsiaTheme="minorHAnsi"/>
                <w:sz w:val="28"/>
                <w:szCs w:val="28"/>
              </w:rPr>
            </w:pPr>
            <w:r w:rsidRPr="009A1F4A">
              <w:rPr>
                <w:rFonts w:eastAsiaTheme="minorHAnsi"/>
                <w:sz w:val="28"/>
                <w:szCs w:val="28"/>
              </w:rPr>
              <w:t>2013 г</w:t>
            </w:r>
          </w:p>
        </w:tc>
        <w:tc>
          <w:tcPr>
            <w:tcW w:w="938" w:type="dxa"/>
            <w:vAlign w:val="center"/>
          </w:tcPr>
          <w:p w:rsidR="0020309F" w:rsidRPr="009A1F4A" w:rsidRDefault="0020309F" w:rsidP="00E80C8C">
            <w:pPr>
              <w:pStyle w:val="a4"/>
              <w:ind w:left="-169" w:firstLine="169"/>
              <w:jc w:val="center"/>
              <w:rPr>
                <w:rFonts w:eastAsiaTheme="minorHAnsi"/>
                <w:sz w:val="28"/>
                <w:szCs w:val="28"/>
              </w:rPr>
            </w:pPr>
            <w:r w:rsidRPr="009A1F4A">
              <w:rPr>
                <w:rFonts w:eastAsiaTheme="minorHAnsi"/>
                <w:sz w:val="28"/>
                <w:szCs w:val="28"/>
              </w:rPr>
              <w:t>2014 г</w:t>
            </w:r>
          </w:p>
        </w:tc>
      </w:tr>
      <w:tr w:rsidR="0020309F" w:rsidRPr="009A1F4A" w:rsidTr="00E80C8C">
        <w:trPr>
          <w:trHeight w:val="573"/>
          <w:jc w:val="center"/>
        </w:trPr>
        <w:tc>
          <w:tcPr>
            <w:tcW w:w="3127" w:type="dxa"/>
            <w:vAlign w:val="center"/>
          </w:tcPr>
          <w:p w:rsidR="0020309F" w:rsidRPr="009A1F4A" w:rsidRDefault="0020309F" w:rsidP="00E80C8C">
            <w:pPr>
              <w:pStyle w:val="a4"/>
              <w:ind w:left="0" w:firstLine="0"/>
              <w:rPr>
                <w:rFonts w:eastAsiaTheme="minorHAnsi"/>
                <w:sz w:val="28"/>
                <w:szCs w:val="28"/>
              </w:rPr>
            </w:pPr>
            <w:r w:rsidRPr="009A1F4A">
              <w:rPr>
                <w:rFonts w:eastAsiaTheme="minorHAnsi"/>
                <w:sz w:val="28"/>
                <w:szCs w:val="28"/>
              </w:rPr>
              <w:t xml:space="preserve">Электропотребление, </w:t>
            </w:r>
          </w:p>
          <w:p w:rsidR="0020309F" w:rsidRPr="009A1F4A" w:rsidRDefault="0020309F" w:rsidP="00E80C8C">
            <w:pPr>
              <w:pStyle w:val="a4"/>
              <w:ind w:left="0" w:firstLine="0"/>
              <w:rPr>
                <w:rFonts w:eastAsiaTheme="minorHAnsi"/>
                <w:sz w:val="28"/>
                <w:szCs w:val="28"/>
              </w:rPr>
            </w:pPr>
            <w:r w:rsidRPr="009A1F4A">
              <w:rPr>
                <w:rFonts w:eastAsiaTheme="minorHAnsi"/>
                <w:sz w:val="28"/>
                <w:szCs w:val="28"/>
              </w:rPr>
              <w:t xml:space="preserve">млрд. </w:t>
            </w:r>
            <w:proofErr w:type="spellStart"/>
            <w:r w:rsidRPr="009A1F4A">
              <w:rPr>
                <w:rFonts w:eastAsiaTheme="minorHAnsi"/>
                <w:sz w:val="28"/>
                <w:szCs w:val="28"/>
              </w:rPr>
              <w:t>кВт·ч</w:t>
            </w:r>
            <w:proofErr w:type="spellEnd"/>
          </w:p>
        </w:tc>
        <w:tc>
          <w:tcPr>
            <w:tcW w:w="1068" w:type="dxa"/>
            <w:vAlign w:val="center"/>
          </w:tcPr>
          <w:p w:rsidR="0020309F" w:rsidRPr="009A1F4A" w:rsidRDefault="0020309F" w:rsidP="00E80C8C">
            <w:pPr>
              <w:pStyle w:val="a4"/>
              <w:ind w:left="0" w:firstLine="0"/>
              <w:jc w:val="center"/>
              <w:rPr>
                <w:rFonts w:eastAsiaTheme="minorHAnsi"/>
                <w:sz w:val="28"/>
                <w:szCs w:val="28"/>
              </w:rPr>
            </w:pPr>
            <w:r w:rsidRPr="009A1F4A">
              <w:rPr>
                <w:rFonts w:eastAsiaTheme="minorHAnsi"/>
                <w:sz w:val="28"/>
                <w:szCs w:val="28"/>
              </w:rPr>
              <w:t>63,9</w:t>
            </w:r>
          </w:p>
        </w:tc>
        <w:tc>
          <w:tcPr>
            <w:tcW w:w="1046" w:type="dxa"/>
            <w:vAlign w:val="center"/>
          </w:tcPr>
          <w:p w:rsidR="0020309F" w:rsidRPr="009A1F4A" w:rsidRDefault="0020309F" w:rsidP="00E80C8C">
            <w:pPr>
              <w:pStyle w:val="a4"/>
              <w:ind w:left="0" w:firstLine="0"/>
              <w:jc w:val="center"/>
              <w:rPr>
                <w:rFonts w:eastAsiaTheme="minorHAnsi"/>
                <w:sz w:val="28"/>
                <w:szCs w:val="28"/>
              </w:rPr>
            </w:pPr>
            <w:r w:rsidRPr="009A1F4A">
              <w:rPr>
                <w:rFonts w:eastAsiaTheme="minorHAnsi"/>
                <w:sz w:val="28"/>
                <w:szCs w:val="28"/>
              </w:rPr>
              <w:t>64,7</w:t>
            </w:r>
          </w:p>
        </w:tc>
        <w:tc>
          <w:tcPr>
            <w:tcW w:w="1051" w:type="dxa"/>
            <w:vAlign w:val="center"/>
          </w:tcPr>
          <w:p w:rsidR="0020309F" w:rsidRPr="009A1F4A" w:rsidRDefault="0020309F" w:rsidP="00E80C8C">
            <w:pPr>
              <w:pStyle w:val="a4"/>
              <w:ind w:left="0" w:firstLine="0"/>
              <w:jc w:val="center"/>
              <w:rPr>
                <w:rFonts w:eastAsiaTheme="minorHAnsi"/>
                <w:sz w:val="28"/>
                <w:szCs w:val="28"/>
              </w:rPr>
            </w:pPr>
            <w:r w:rsidRPr="009A1F4A">
              <w:rPr>
                <w:rFonts w:eastAsiaTheme="minorHAnsi"/>
                <w:sz w:val="28"/>
                <w:szCs w:val="28"/>
              </w:rPr>
              <w:t>65,2</w:t>
            </w:r>
          </w:p>
        </w:tc>
        <w:tc>
          <w:tcPr>
            <w:tcW w:w="949" w:type="dxa"/>
            <w:vAlign w:val="center"/>
          </w:tcPr>
          <w:p w:rsidR="0020309F" w:rsidRPr="009A1F4A" w:rsidRDefault="0020309F" w:rsidP="00E80C8C">
            <w:pPr>
              <w:pStyle w:val="a4"/>
              <w:ind w:left="0" w:firstLine="0"/>
              <w:jc w:val="center"/>
              <w:rPr>
                <w:rFonts w:eastAsiaTheme="minorHAnsi"/>
                <w:sz w:val="28"/>
                <w:szCs w:val="28"/>
              </w:rPr>
            </w:pPr>
            <w:r w:rsidRPr="009A1F4A">
              <w:rPr>
                <w:rFonts w:eastAsiaTheme="minorHAnsi"/>
                <w:sz w:val="28"/>
                <w:szCs w:val="28"/>
              </w:rPr>
              <w:t>65,8</w:t>
            </w:r>
          </w:p>
        </w:tc>
        <w:tc>
          <w:tcPr>
            <w:tcW w:w="938" w:type="dxa"/>
            <w:vAlign w:val="center"/>
          </w:tcPr>
          <w:p w:rsidR="0020309F" w:rsidRPr="009A1F4A" w:rsidRDefault="0020309F" w:rsidP="00E80C8C">
            <w:pPr>
              <w:pStyle w:val="a4"/>
              <w:ind w:left="0" w:firstLine="0"/>
              <w:jc w:val="center"/>
              <w:rPr>
                <w:rFonts w:eastAsiaTheme="minorHAnsi"/>
                <w:sz w:val="28"/>
                <w:szCs w:val="28"/>
              </w:rPr>
            </w:pPr>
            <w:r w:rsidRPr="009A1F4A">
              <w:rPr>
                <w:rFonts w:eastAsiaTheme="minorHAnsi"/>
                <w:sz w:val="28"/>
                <w:szCs w:val="28"/>
              </w:rPr>
              <w:t>69,0</w:t>
            </w:r>
          </w:p>
        </w:tc>
        <w:tc>
          <w:tcPr>
            <w:tcW w:w="938" w:type="dxa"/>
            <w:vAlign w:val="center"/>
          </w:tcPr>
          <w:p w:rsidR="0020309F" w:rsidRPr="009A1F4A" w:rsidRDefault="0020309F" w:rsidP="00E80C8C">
            <w:pPr>
              <w:pStyle w:val="a4"/>
              <w:ind w:left="0" w:firstLine="0"/>
              <w:jc w:val="center"/>
              <w:rPr>
                <w:rFonts w:eastAsiaTheme="minorHAnsi"/>
                <w:sz w:val="28"/>
                <w:szCs w:val="28"/>
              </w:rPr>
            </w:pPr>
            <w:r w:rsidRPr="009A1F4A">
              <w:rPr>
                <w:rFonts w:eastAsiaTheme="minorHAnsi"/>
                <w:sz w:val="28"/>
                <w:szCs w:val="28"/>
              </w:rPr>
              <w:t>70,6</w:t>
            </w:r>
          </w:p>
        </w:tc>
      </w:tr>
      <w:tr w:rsidR="0020309F" w:rsidRPr="009A1F4A" w:rsidTr="00E80C8C">
        <w:trPr>
          <w:trHeight w:val="589"/>
          <w:jc w:val="center"/>
        </w:trPr>
        <w:tc>
          <w:tcPr>
            <w:tcW w:w="3127" w:type="dxa"/>
            <w:vAlign w:val="center"/>
          </w:tcPr>
          <w:p w:rsidR="0020309F" w:rsidRPr="009A1F4A" w:rsidRDefault="0020309F" w:rsidP="00E80C8C">
            <w:pPr>
              <w:pStyle w:val="a4"/>
              <w:ind w:left="0" w:firstLine="0"/>
              <w:rPr>
                <w:rFonts w:eastAsiaTheme="minorHAnsi"/>
                <w:sz w:val="28"/>
                <w:szCs w:val="28"/>
              </w:rPr>
            </w:pPr>
            <w:r w:rsidRPr="009A1F4A">
              <w:rPr>
                <w:rFonts w:eastAsiaTheme="minorHAnsi"/>
                <w:sz w:val="28"/>
                <w:szCs w:val="28"/>
              </w:rPr>
              <w:t xml:space="preserve">Выработка, млрд. </w:t>
            </w:r>
            <w:proofErr w:type="spellStart"/>
            <w:r w:rsidRPr="009A1F4A">
              <w:rPr>
                <w:rFonts w:eastAsiaTheme="minorHAnsi"/>
                <w:sz w:val="28"/>
                <w:szCs w:val="28"/>
              </w:rPr>
              <w:t>кВт·ч</w:t>
            </w:r>
            <w:proofErr w:type="spellEnd"/>
          </w:p>
        </w:tc>
        <w:tc>
          <w:tcPr>
            <w:tcW w:w="1068" w:type="dxa"/>
            <w:vAlign w:val="center"/>
          </w:tcPr>
          <w:p w:rsidR="0020309F" w:rsidRPr="009A1F4A" w:rsidRDefault="0020309F" w:rsidP="00E80C8C">
            <w:pPr>
              <w:pStyle w:val="a3"/>
              <w:spacing w:after="0" w:line="240" w:lineRule="auto"/>
              <w:ind w:left="0"/>
              <w:contextualSpacing w:val="0"/>
              <w:jc w:val="center"/>
              <w:rPr>
                <w:rFonts w:ascii="Times New Roman" w:eastAsiaTheme="minorHAnsi" w:hAnsi="Times New Roman"/>
                <w:sz w:val="28"/>
                <w:szCs w:val="28"/>
                <w:lang w:eastAsia="ru-RU"/>
              </w:rPr>
            </w:pPr>
            <w:r w:rsidRPr="009A1F4A">
              <w:rPr>
                <w:rFonts w:ascii="Times New Roman" w:eastAsiaTheme="minorHAnsi" w:hAnsi="Times New Roman"/>
                <w:sz w:val="28"/>
                <w:szCs w:val="28"/>
                <w:lang w:eastAsia="ru-RU"/>
              </w:rPr>
              <w:t>74,5</w:t>
            </w:r>
          </w:p>
        </w:tc>
        <w:tc>
          <w:tcPr>
            <w:tcW w:w="1046" w:type="dxa"/>
            <w:vAlign w:val="center"/>
          </w:tcPr>
          <w:p w:rsidR="0020309F" w:rsidRPr="009A1F4A" w:rsidRDefault="0020309F" w:rsidP="00E80C8C">
            <w:pPr>
              <w:pStyle w:val="a3"/>
              <w:spacing w:after="0" w:line="240" w:lineRule="auto"/>
              <w:ind w:left="0"/>
              <w:contextualSpacing w:val="0"/>
              <w:jc w:val="center"/>
              <w:rPr>
                <w:rFonts w:ascii="Times New Roman" w:eastAsiaTheme="minorHAnsi" w:hAnsi="Times New Roman"/>
                <w:sz w:val="28"/>
                <w:szCs w:val="28"/>
                <w:lang w:eastAsia="ru-RU"/>
              </w:rPr>
            </w:pPr>
            <w:r w:rsidRPr="009A1F4A">
              <w:rPr>
                <w:rFonts w:ascii="Times New Roman" w:eastAsiaTheme="minorHAnsi" w:hAnsi="Times New Roman"/>
                <w:sz w:val="28"/>
                <w:szCs w:val="28"/>
                <w:lang w:eastAsia="ru-RU"/>
              </w:rPr>
              <w:t>77,7</w:t>
            </w:r>
          </w:p>
        </w:tc>
        <w:tc>
          <w:tcPr>
            <w:tcW w:w="1051" w:type="dxa"/>
            <w:vAlign w:val="center"/>
          </w:tcPr>
          <w:p w:rsidR="0020309F" w:rsidRPr="009A1F4A" w:rsidRDefault="0020309F" w:rsidP="00E80C8C">
            <w:pPr>
              <w:pStyle w:val="a3"/>
              <w:spacing w:after="0" w:line="240" w:lineRule="auto"/>
              <w:ind w:left="0"/>
              <w:contextualSpacing w:val="0"/>
              <w:jc w:val="center"/>
              <w:rPr>
                <w:rFonts w:ascii="Times New Roman" w:eastAsiaTheme="minorHAnsi" w:hAnsi="Times New Roman"/>
                <w:sz w:val="28"/>
                <w:szCs w:val="28"/>
                <w:lang w:eastAsia="ru-RU"/>
              </w:rPr>
            </w:pPr>
            <w:r w:rsidRPr="009A1F4A">
              <w:rPr>
                <w:rFonts w:ascii="Times New Roman" w:eastAsiaTheme="minorHAnsi" w:hAnsi="Times New Roman"/>
                <w:sz w:val="28"/>
                <w:szCs w:val="28"/>
                <w:lang w:eastAsia="ru-RU"/>
              </w:rPr>
              <w:t>81,8</w:t>
            </w:r>
          </w:p>
        </w:tc>
        <w:tc>
          <w:tcPr>
            <w:tcW w:w="949" w:type="dxa"/>
            <w:vAlign w:val="center"/>
          </w:tcPr>
          <w:p w:rsidR="0020309F" w:rsidRPr="009A1F4A" w:rsidRDefault="0020309F" w:rsidP="00E80C8C">
            <w:pPr>
              <w:pStyle w:val="a3"/>
              <w:spacing w:after="0" w:line="240" w:lineRule="auto"/>
              <w:ind w:left="0"/>
              <w:contextualSpacing w:val="0"/>
              <w:jc w:val="center"/>
              <w:rPr>
                <w:rFonts w:ascii="Times New Roman" w:eastAsiaTheme="minorHAnsi" w:hAnsi="Times New Roman"/>
                <w:sz w:val="28"/>
                <w:szCs w:val="28"/>
                <w:lang w:eastAsia="ru-RU"/>
              </w:rPr>
            </w:pPr>
            <w:r w:rsidRPr="009A1F4A">
              <w:rPr>
                <w:rFonts w:ascii="Times New Roman" w:eastAsiaTheme="minorHAnsi" w:hAnsi="Times New Roman"/>
                <w:sz w:val="28"/>
                <w:szCs w:val="28"/>
                <w:lang w:eastAsia="ru-RU"/>
              </w:rPr>
              <w:t>81,1</w:t>
            </w:r>
          </w:p>
        </w:tc>
        <w:tc>
          <w:tcPr>
            <w:tcW w:w="938" w:type="dxa"/>
            <w:vAlign w:val="center"/>
          </w:tcPr>
          <w:p w:rsidR="0020309F" w:rsidRPr="009A1F4A" w:rsidRDefault="0020309F" w:rsidP="00E80C8C">
            <w:pPr>
              <w:pStyle w:val="a3"/>
              <w:spacing w:after="0" w:line="240" w:lineRule="auto"/>
              <w:ind w:left="0"/>
              <w:contextualSpacing w:val="0"/>
              <w:jc w:val="center"/>
              <w:rPr>
                <w:rFonts w:ascii="Times New Roman" w:eastAsiaTheme="minorHAnsi" w:hAnsi="Times New Roman"/>
                <w:sz w:val="28"/>
                <w:szCs w:val="28"/>
                <w:lang w:eastAsia="ru-RU"/>
              </w:rPr>
            </w:pPr>
            <w:r w:rsidRPr="009A1F4A">
              <w:rPr>
                <w:rFonts w:ascii="Times New Roman" w:eastAsiaTheme="minorHAnsi" w:hAnsi="Times New Roman"/>
                <w:sz w:val="28"/>
                <w:szCs w:val="28"/>
                <w:lang w:eastAsia="ru-RU"/>
              </w:rPr>
              <w:t>86,6</w:t>
            </w:r>
          </w:p>
        </w:tc>
        <w:tc>
          <w:tcPr>
            <w:tcW w:w="938" w:type="dxa"/>
            <w:vAlign w:val="center"/>
          </w:tcPr>
          <w:p w:rsidR="0020309F" w:rsidRPr="009A1F4A" w:rsidRDefault="0020309F" w:rsidP="00E80C8C">
            <w:pPr>
              <w:pStyle w:val="a3"/>
              <w:spacing w:after="0" w:line="240" w:lineRule="auto"/>
              <w:ind w:left="0"/>
              <w:contextualSpacing w:val="0"/>
              <w:jc w:val="center"/>
              <w:rPr>
                <w:rFonts w:ascii="Times New Roman" w:eastAsiaTheme="minorHAnsi" w:hAnsi="Times New Roman"/>
                <w:sz w:val="28"/>
                <w:szCs w:val="28"/>
                <w:lang w:eastAsia="ru-RU"/>
              </w:rPr>
            </w:pPr>
            <w:r w:rsidRPr="009A1F4A">
              <w:rPr>
                <w:rFonts w:ascii="Times New Roman" w:eastAsiaTheme="minorHAnsi" w:hAnsi="Times New Roman"/>
                <w:sz w:val="28"/>
                <w:szCs w:val="28"/>
                <w:lang w:eastAsia="ru-RU"/>
              </w:rPr>
              <w:t>89,1</w:t>
            </w:r>
          </w:p>
        </w:tc>
      </w:tr>
    </w:tbl>
    <w:p w:rsidR="0020309F" w:rsidRPr="009A1F4A" w:rsidRDefault="0020309F" w:rsidP="0020309F">
      <w:pPr>
        <w:spacing w:after="0" w:line="240" w:lineRule="auto"/>
        <w:jc w:val="both"/>
        <w:rPr>
          <w:rFonts w:ascii="Times New Roman" w:hAnsi="Times New Roman" w:cs="Times New Roman"/>
          <w:sz w:val="28"/>
          <w:szCs w:val="28"/>
          <w:lang w:eastAsia="ru-RU"/>
        </w:rPr>
      </w:pPr>
    </w:p>
    <w:p w:rsidR="0020309F" w:rsidRPr="009A1F4A" w:rsidRDefault="0020309F" w:rsidP="0020309F">
      <w:pPr>
        <w:spacing w:after="0" w:line="240" w:lineRule="auto"/>
        <w:jc w:val="both"/>
        <w:rPr>
          <w:rFonts w:ascii="Times New Roman" w:hAnsi="Times New Roman" w:cs="Times New Roman"/>
          <w:sz w:val="28"/>
          <w:szCs w:val="28"/>
          <w:lang w:eastAsia="ru-RU"/>
        </w:rPr>
      </w:pPr>
      <w:r w:rsidRPr="009A1F4A">
        <w:rPr>
          <w:rFonts w:ascii="Times New Roman" w:hAnsi="Times New Roman" w:cs="Times New Roman"/>
          <w:sz w:val="28"/>
          <w:szCs w:val="28"/>
          <w:lang w:eastAsia="ru-RU"/>
        </w:rPr>
        <w:lastRenderedPageBreak/>
        <w:drawing>
          <wp:inline distT="0" distB="0" distL="0" distR="0" wp14:anchorId="0791D876" wp14:editId="0129CF2F">
            <wp:extent cx="5781675" cy="4283075"/>
            <wp:effectExtent l="0" t="0" r="9525" b="3175"/>
            <wp:docPr id="13" name="Диаграмма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20309F" w:rsidRPr="009A1F4A" w:rsidRDefault="0020309F" w:rsidP="0020309F">
      <w:pPr>
        <w:spacing w:after="0" w:line="240" w:lineRule="auto"/>
        <w:ind w:firstLine="708"/>
        <w:jc w:val="both"/>
        <w:rPr>
          <w:rFonts w:ascii="Times New Roman" w:hAnsi="Times New Roman" w:cs="Times New Roman"/>
          <w:sz w:val="28"/>
          <w:szCs w:val="28"/>
          <w:lang w:eastAsia="ru-RU"/>
        </w:rPr>
      </w:pPr>
      <w:r w:rsidRPr="009A1F4A">
        <w:rPr>
          <w:rFonts w:ascii="Times New Roman" w:hAnsi="Times New Roman" w:cs="Times New Roman"/>
          <w:sz w:val="28"/>
          <w:szCs w:val="28"/>
          <w:lang w:eastAsia="ru-RU"/>
        </w:rPr>
        <w:t>Общая установленная мощность электростанций автономного округа в 2014 году составила 13,9 ГВт (гигаватт). Максимум нагрузки в Югре в 2014 году составил 9,0 ГВт.</w:t>
      </w:r>
    </w:p>
    <w:p w:rsidR="0020309F" w:rsidRPr="009A1F4A" w:rsidRDefault="0020309F" w:rsidP="0020309F">
      <w:pPr>
        <w:spacing w:after="0"/>
        <w:ind w:firstLine="708"/>
        <w:jc w:val="both"/>
        <w:rPr>
          <w:rFonts w:ascii="Times New Roman" w:hAnsi="Times New Roman" w:cs="Times New Roman"/>
          <w:sz w:val="28"/>
          <w:szCs w:val="28"/>
          <w:lang w:eastAsia="ru-RU"/>
        </w:rPr>
      </w:pPr>
      <w:r w:rsidRPr="009A1F4A">
        <w:rPr>
          <w:rFonts w:ascii="Times New Roman" w:hAnsi="Times New Roman" w:cs="Times New Roman"/>
          <w:sz w:val="28"/>
          <w:szCs w:val="28"/>
          <w:lang w:eastAsia="ru-RU"/>
        </w:rPr>
        <w:t>За пять лет общая установленная мощность электростанций увеличилась на 3,4 ГВт или на 32 %, максимум нагрузки в Югре увеличился на 0,6 ГВт или на 7 %.</w:t>
      </w:r>
    </w:p>
    <w:p w:rsidR="0020309F" w:rsidRPr="009A1F4A" w:rsidRDefault="0020309F" w:rsidP="0020309F">
      <w:pPr>
        <w:spacing w:after="0" w:line="240" w:lineRule="auto"/>
        <w:ind w:firstLine="708"/>
        <w:jc w:val="both"/>
        <w:rPr>
          <w:rFonts w:ascii="Times New Roman" w:hAnsi="Times New Roman" w:cs="Times New Roman"/>
          <w:sz w:val="28"/>
          <w:szCs w:val="28"/>
          <w:lang w:eastAsia="ru-RU"/>
        </w:rPr>
      </w:pPr>
      <w:r w:rsidRPr="009A1F4A">
        <w:rPr>
          <w:rFonts w:ascii="Times New Roman" w:hAnsi="Times New Roman" w:cs="Times New Roman"/>
          <w:sz w:val="28"/>
          <w:szCs w:val="28"/>
          <w:lang w:eastAsia="ru-RU"/>
        </w:rPr>
        <w:t>Динамика изменения установленной мощности и максимальной нагрузки за период с 2009 по 2014 годы представлена на диаграмме.</w:t>
      </w:r>
    </w:p>
    <w:p w:rsidR="0020309F" w:rsidRPr="009A1F4A" w:rsidRDefault="0020309F" w:rsidP="0020309F">
      <w:pPr>
        <w:spacing w:after="0" w:line="240" w:lineRule="auto"/>
        <w:ind w:firstLine="708"/>
        <w:jc w:val="right"/>
        <w:rPr>
          <w:rFonts w:ascii="Times New Roman" w:hAnsi="Times New Roman" w:cs="Times New Roman"/>
          <w:sz w:val="28"/>
          <w:szCs w:val="28"/>
          <w:lang w:eastAsia="ru-RU"/>
        </w:rPr>
      </w:pPr>
    </w:p>
    <w:tbl>
      <w:tblPr>
        <w:tblW w:w="9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27"/>
        <w:gridCol w:w="1068"/>
        <w:gridCol w:w="1046"/>
        <w:gridCol w:w="1051"/>
        <w:gridCol w:w="949"/>
        <w:gridCol w:w="938"/>
        <w:gridCol w:w="938"/>
      </w:tblGrid>
      <w:tr w:rsidR="0020309F" w:rsidRPr="009A1F4A" w:rsidTr="00E80C8C">
        <w:trPr>
          <w:trHeight w:val="513"/>
          <w:jc w:val="center"/>
        </w:trPr>
        <w:tc>
          <w:tcPr>
            <w:tcW w:w="3127" w:type="dxa"/>
            <w:vAlign w:val="center"/>
          </w:tcPr>
          <w:p w:rsidR="0020309F" w:rsidRPr="009A1F4A" w:rsidRDefault="0020309F" w:rsidP="00E80C8C">
            <w:pPr>
              <w:pStyle w:val="a4"/>
              <w:ind w:left="0" w:firstLine="0"/>
              <w:jc w:val="center"/>
              <w:rPr>
                <w:rFonts w:eastAsiaTheme="minorHAnsi"/>
                <w:sz w:val="28"/>
                <w:szCs w:val="28"/>
              </w:rPr>
            </w:pPr>
            <w:r w:rsidRPr="009A1F4A">
              <w:rPr>
                <w:rFonts w:eastAsiaTheme="minorHAnsi"/>
                <w:sz w:val="28"/>
                <w:szCs w:val="28"/>
              </w:rPr>
              <w:t>Наименование</w:t>
            </w:r>
            <w:r w:rsidRPr="009A1F4A">
              <w:rPr>
                <w:rFonts w:eastAsiaTheme="minorHAnsi"/>
                <w:sz w:val="28"/>
                <w:szCs w:val="28"/>
              </w:rPr>
              <w:br/>
              <w:t>показателя</w:t>
            </w:r>
          </w:p>
        </w:tc>
        <w:tc>
          <w:tcPr>
            <w:tcW w:w="1068" w:type="dxa"/>
            <w:vAlign w:val="center"/>
          </w:tcPr>
          <w:p w:rsidR="0020309F" w:rsidRPr="009A1F4A" w:rsidRDefault="0020309F" w:rsidP="00E80C8C">
            <w:pPr>
              <w:pStyle w:val="a4"/>
              <w:ind w:left="0" w:firstLine="0"/>
              <w:jc w:val="center"/>
              <w:rPr>
                <w:rFonts w:eastAsiaTheme="minorHAnsi"/>
                <w:sz w:val="28"/>
                <w:szCs w:val="28"/>
              </w:rPr>
            </w:pPr>
            <w:r w:rsidRPr="009A1F4A">
              <w:rPr>
                <w:rFonts w:eastAsiaTheme="minorHAnsi"/>
                <w:sz w:val="28"/>
                <w:szCs w:val="28"/>
              </w:rPr>
              <w:t>2009 г</w:t>
            </w:r>
          </w:p>
        </w:tc>
        <w:tc>
          <w:tcPr>
            <w:tcW w:w="1046" w:type="dxa"/>
            <w:vAlign w:val="center"/>
          </w:tcPr>
          <w:p w:rsidR="0020309F" w:rsidRPr="009A1F4A" w:rsidRDefault="0020309F" w:rsidP="00E80C8C">
            <w:pPr>
              <w:pStyle w:val="a4"/>
              <w:ind w:left="0" w:firstLine="0"/>
              <w:jc w:val="center"/>
              <w:rPr>
                <w:rFonts w:eastAsiaTheme="minorHAnsi"/>
                <w:sz w:val="28"/>
                <w:szCs w:val="28"/>
              </w:rPr>
            </w:pPr>
            <w:r w:rsidRPr="009A1F4A">
              <w:rPr>
                <w:rFonts w:eastAsiaTheme="minorHAnsi"/>
                <w:sz w:val="28"/>
                <w:szCs w:val="28"/>
              </w:rPr>
              <w:t>2010 г</w:t>
            </w:r>
          </w:p>
        </w:tc>
        <w:tc>
          <w:tcPr>
            <w:tcW w:w="1051" w:type="dxa"/>
            <w:vAlign w:val="center"/>
          </w:tcPr>
          <w:p w:rsidR="0020309F" w:rsidRPr="009A1F4A" w:rsidRDefault="0020309F" w:rsidP="00E80C8C">
            <w:pPr>
              <w:pStyle w:val="a4"/>
              <w:ind w:left="0" w:firstLine="0"/>
              <w:jc w:val="center"/>
              <w:rPr>
                <w:rFonts w:eastAsiaTheme="minorHAnsi"/>
                <w:sz w:val="28"/>
                <w:szCs w:val="28"/>
              </w:rPr>
            </w:pPr>
            <w:r w:rsidRPr="009A1F4A">
              <w:rPr>
                <w:rFonts w:eastAsiaTheme="minorHAnsi"/>
                <w:sz w:val="28"/>
                <w:szCs w:val="28"/>
              </w:rPr>
              <w:t>2011 г</w:t>
            </w:r>
          </w:p>
        </w:tc>
        <w:tc>
          <w:tcPr>
            <w:tcW w:w="949" w:type="dxa"/>
            <w:vAlign w:val="center"/>
          </w:tcPr>
          <w:p w:rsidR="0020309F" w:rsidRPr="009A1F4A" w:rsidRDefault="0020309F" w:rsidP="00E80C8C">
            <w:pPr>
              <w:pStyle w:val="a4"/>
              <w:ind w:left="0" w:firstLine="0"/>
              <w:jc w:val="center"/>
              <w:rPr>
                <w:rFonts w:eastAsiaTheme="minorHAnsi"/>
                <w:sz w:val="28"/>
                <w:szCs w:val="28"/>
              </w:rPr>
            </w:pPr>
            <w:r w:rsidRPr="009A1F4A">
              <w:rPr>
                <w:rFonts w:eastAsiaTheme="minorHAnsi"/>
                <w:sz w:val="28"/>
                <w:szCs w:val="28"/>
              </w:rPr>
              <w:t>2012 г</w:t>
            </w:r>
          </w:p>
        </w:tc>
        <w:tc>
          <w:tcPr>
            <w:tcW w:w="938" w:type="dxa"/>
            <w:vAlign w:val="center"/>
          </w:tcPr>
          <w:p w:rsidR="0020309F" w:rsidRPr="009A1F4A" w:rsidRDefault="0020309F" w:rsidP="00E80C8C">
            <w:pPr>
              <w:pStyle w:val="a4"/>
              <w:ind w:left="0" w:firstLine="0"/>
              <w:jc w:val="center"/>
              <w:rPr>
                <w:rFonts w:eastAsiaTheme="minorHAnsi"/>
                <w:sz w:val="28"/>
                <w:szCs w:val="28"/>
              </w:rPr>
            </w:pPr>
            <w:r w:rsidRPr="009A1F4A">
              <w:rPr>
                <w:rFonts w:eastAsiaTheme="minorHAnsi"/>
                <w:sz w:val="28"/>
                <w:szCs w:val="28"/>
              </w:rPr>
              <w:t>2013 г</w:t>
            </w:r>
          </w:p>
        </w:tc>
        <w:tc>
          <w:tcPr>
            <w:tcW w:w="938" w:type="dxa"/>
            <w:vAlign w:val="center"/>
          </w:tcPr>
          <w:p w:rsidR="0020309F" w:rsidRPr="009A1F4A" w:rsidRDefault="0020309F" w:rsidP="00E80C8C">
            <w:pPr>
              <w:pStyle w:val="a4"/>
              <w:ind w:left="-169" w:firstLine="169"/>
              <w:jc w:val="center"/>
              <w:rPr>
                <w:rFonts w:eastAsiaTheme="minorHAnsi"/>
                <w:sz w:val="28"/>
                <w:szCs w:val="28"/>
              </w:rPr>
            </w:pPr>
            <w:r w:rsidRPr="009A1F4A">
              <w:rPr>
                <w:rFonts w:eastAsiaTheme="minorHAnsi"/>
                <w:sz w:val="28"/>
                <w:szCs w:val="28"/>
              </w:rPr>
              <w:t>2014 г</w:t>
            </w:r>
          </w:p>
        </w:tc>
      </w:tr>
      <w:tr w:rsidR="0020309F" w:rsidRPr="009A1F4A" w:rsidTr="00E80C8C">
        <w:trPr>
          <w:trHeight w:val="573"/>
          <w:jc w:val="center"/>
        </w:trPr>
        <w:tc>
          <w:tcPr>
            <w:tcW w:w="3127" w:type="dxa"/>
            <w:vAlign w:val="center"/>
          </w:tcPr>
          <w:p w:rsidR="0020309F" w:rsidRPr="009A1F4A" w:rsidRDefault="0020309F" w:rsidP="00E80C8C">
            <w:pPr>
              <w:pStyle w:val="a4"/>
              <w:ind w:left="0" w:firstLine="0"/>
              <w:rPr>
                <w:rFonts w:eastAsiaTheme="minorHAnsi"/>
                <w:sz w:val="28"/>
                <w:szCs w:val="28"/>
              </w:rPr>
            </w:pPr>
            <w:r w:rsidRPr="009A1F4A">
              <w:rPr>
                <w:rFonts w:eastAsiaTheme="minorHAnsi"/>
                <w:sz w:val="28"/>
                <w:szCs w:val="28"/>
              </w:rPr>
              <w:t>Установленная мощность, ГВт</w:t>
            </w:r>
          </w:p>
        </w:tc>
        <w:tc>
          <w:tcPr>
            <w:tcW w:w="1068" w:type="dxa"/>
            <w:vAlign w:val="center"/>
          </w:tcPr>
          <w:p w:rsidR="0020309F" w:rsidRPr="009A1F4A" w:rsidRDefault="0020309F" w:rsidP="00E80C8C">
            <w:pPr>
              <w:pStyle w:val="a4"/>
              <w:ind w:left="0" w:firstLine="0"/>
              <w:jc w:val="center"/>
              <w:rPr>
                <w:rFonts w:eastAsiaTheme="minorHAnsi"/>
                <w:sz w:val="28"/>
                <w:szCs w:val="28"/>
              </w:rPr>
            </w:pPr>
            <w:r w:rsidRPr="009A1F4A">
              <w:rPr>
                <w:rFonts w:eastAsiaTheme="minorHAnsi"/>
                <w:sz w:val="28"/>
                <w:szCs w:val="28"/>
              </w:rPr>
              <w:t>10,5</w:t>
            </w:r>
          </w:p>
        </w:tc>
        <w:tc>
          <w:tcPr>
            <w:tcW w:w="1046" w:type="dxa"/>
            <w:vAlign w:val="center"/>
          </w:tcPr>
          <w:p w:rsidR="0020309F" w:rsidRPr="009A1F4A" w:rsidRDefault="0020309F" w:rsidP="00E80C8C">
            <w:pPr>
              <w:pStyle w:val="a4"/>
              <w:ind w:left="0" w:firstLine="0"/>
              <w:jc w:val="center"/>
              <w:rPr>
                <w:rFonts w:eastAsiaTheme="minorHAnsi"/>
                <w:sz w:val="28"/>
                <w:szCs w:val="28"/>
              </w:rPr>
            </w:pPr>
            <w:r w:rsidRPr="009A1F4A">
              <w:rPr>
                <w:rFonts w:eastAsiaTheme="minorHAnsi"/>
                <w:sz w:val="28"/>
                <w:szCs w:val="28"/>
              </w:rPr>
              <w:t>10,9</w:t>
            </w:r>
          </w:p>
        </w:tc>
        <w:tc>
          <w:tcPr>
            <w:tcW w:w="1051" w:type="dxa"/>
            <w:vAlign w:val="center"/>
          </w:tcPr>
          <w:p w:rsidR="0020309F" w:rsidRPr="009A1F4A" w:rsidRDefault="0020309F" w:rsidP="00E80C8C">
            <w:pPr>
              <w:pStyle w:val="a4"/>
              <w:ind w:left="0" w:firstLine="0"/>
              <w:jc w:val="center"/>
              <w:rPr>
                <w:rFonts w:eastAsiaTheme="minorHAnsi"/>
                <w:sz w:val="28"/>
                <w:szCs w:val="28"/>
              </w:rPr>
            </w:pPr>
            <w:r w:rsidRPr="009A1F4A">
              <w:rPr>
                <w:rFonts w:eastAsiaTheme="minorHAnsi"/>
                <w:sz w:val="28"/>
                <w:szCs w:val="28"/>
              </w:rPr>
              <w:t>11,7</w:t>
            </w:r>
          </w:p>
        </w:tc>
        <w:tc>
          <w:tcPr>
            <w:tcW w:w="949" w:type="dxa"/>
            <w:vAlign w:val="center"/>
          </w:tcPr>
          <w:p w:rsidR="0020309F" w:rsidRPr="009A1F4A" w:rsidRDefault="0020309F" w:rsidP="00E80C8C">
            <w:pPr>
              <w:pStyle w:val="a4"/>
              <w:ind w:left="0" w:firstLine="0"/>
              <w:jc w:val="center"/>
              <w:rPr>
                <w:rFonts w:eastAsiaTheme="minorHAnsi"/>
                <w:sz w:val="28"/>
                <w:szCs w:val="28"/>
              </w:rPr>
            </w:pPr>
            <w:r w:rsidRPr="009A1F4A">
              <w:rPr>
                <w:rFonts w:eastAsiaTheme="minorHAnsi"/>
                <w:sz w:val="28"/>
                <w:szCs w:val="28"/>
              </w:rPr>
              <w:t>11,9</w:t>
            </w:r>
          </w:p>
        </w:tc>
        <w:tc>
          <w:tcPr>
            <w:tcW w:w="938" w:type="dxa"/>
            <w:vAlign w:val="center"/>
          </w:tcPr>
          <w:p w:rsidR="0020309F" w:rsidRPr="009A1F4A" w:rsidRDefault="0020309F" w:rsidP="00E80C8C">
            <w:pPr>
              <w:pStyle w:val="a4"/>
              <w:ind w:left="0" w:firstLine="0"/>
              <w:jc w:val="center"/>
              <w:rPr>
                <w:rFonts w:eastAsiaTheme="minorHAnsi"/>
                <w:sz w:val="28"/>
                <w:szCs w:val="28"/>
              </w:rPr>
            </w:pPr>
            <w:r w:rsidRPr="009A1F4A">
              <w:rPr>
                <w:rFonts w:eastAsiaTheme="minorHAnsi"/>
                <w:sz w:val="28"/>
                <w:szCs w:val="28"/>
              </w:rPr>
              <w:t>12,9</w:t>
            </w:r>
          </w:p>
        </w:tc>
        <w:tc>
          <w:tcPr>
            <w:tcW w:w="938" w:type="dxa"/>
            <w:vAlign w:val="center"/>
          </w:tcPr>
          <w:p w:rsidR="0020309F" w:rsidRPr="009A1F4A" w:rsidRDefault="0020309F" w:rsidP="00E80C8C">
            <w:pPr>
              <w:pStyle w:val="a4"/>
              <w:ind w:left="0" w:firstLine="0"/>
              <w:jc w:val="center"/>
              <w:rPr>
                <w:rFonts w:eastAsiaTheme="minorHAnsi"/>
                <w:sz w:val="28"/>
                <w:szCs w:val="28"/>
              </w:rPr>
            </w:pPr>
            <w:r w:rsidRPr="009A1F4A">
              <w:rPr>
                <w:rFonts w:eastAsiaTheme="minorHAnsi"/>
                <w:sz w:val="28"/>
                <w:szCs w:val="28"/>
              </w:rPr>
              <w:t>13,9</w:t>
            </w:r>
          </w:p>
        </w:tc>
      </w:tr>
      <w:tr w:rsidR="0020309F" w:rsidRPr="009A1F4A" w:rsidTr="00E80C8C">
        <w:trPr>
          <w:trHeight w:val="589"/>
          <w:jc w:val="center"/>
        </w:trPr>
        <w:tc>
          <w:tcPr>
            <w:tcW w:w="3127" w:type="dxa"/>
            <w:vAlign w:val="center"/>
          </w:tcPr>
          <w:p w:rsidR="0020309F" w:rsidRPr="009A1F4A" w:rsidRDefault="0020309F" w:rsidP="00E80C8C">
            <w:pPr>
              <w:pStyle w:val="a4"/>
              <w:ind w:left="0" w:firstLine="0"/>
              <w:rPr>
                <w:rFonts w:eastAsiaTheme="minorHAnsi"/>
                <w:sz w:val="28"/>
                <w:szCs w:val="28"/>
              </w:rPr>
            </w:pPr>
            <w:r w:rsidRPr="009A1F4A">
              <w:rPr>
                <w:rFonts w:eastAsiaTheme="minorHAnsi"/>
                <w:sz w:val="28"/>
                <w:szCs w:val="28"/>
              </w:rPr>
              <w:t>Максимум нагрузки, ГВт</w:t>
            </w:r>
          </w:p>
        </w:tc>
        <w:tc>
          <w:tcPr>
            <w:tcW w:w="1068" w:type="dxa"/>
            <w:vAlign w:val="center"/>
          </w:tcPr>
          <w:p w:rsidR="0020309F" w:rsidRPr="009A1F4A" w:rsidRDefault="0020309F" w:rsidP="00E80C8C">
            <w:pPr>
              <w:pStyle w:val="a3"/>
              <w:spacing w:after="0" w:line="240" w:lineRule="auto"/>
              <w:ind w:left="0"/>
              <w:contextualSpacing w:val="0"/>
              <w:jc w:val="center"/>
              <w:rPr>
                <w:rFonts w:ascii="Times New Roman" w:eastAsiaTheme="minorHAnsi" w:hAnsi="Times New Roman"/>
                <w:sz w:val="28"/>
                <w:szCs w:val="28"/>
                <w:lang w:eastAsia="ru-RU"/>
              </w:rPr>
            </w:pPr>
            <w:r w:rsidRPr="009A1F4A">
              <w:rPr>
                <w:rFonts w:ascii="Times New Roman" w:eastAsiaTheme="minorHAnsi" w:hAnsi="Times New Roman"/>
                <w:sz w:val="28"/>
                <w:szCs w:val="28"/>
                <w:lang w:eastAsia="ru-RU"/>
              </w:rPr>
              <w:t>8,4</w:t>
            </w:r>
          </w:p>
        </w:tc>
        <w:tc>
          <w:tcPr>
            <w:tcW w:w="1046" w:type="dxa"/>
            <w:vAlign w:val="center"/>
          </w:tcPr>
          <w:p w:rsidR="0020309F" w:rsidRPr="009A1F4A" w:rsidRDefault="0020309F" w:rsidP="00E80C8C">
            <w:pPr>
              <w:pStyle w:val="a3"/>
              <w:spacing w:after="0" w:line="240" w:lineRule="auto"/>
              <w:ind w:left="0"/>
              <w:contextualSpacing w:val="0"/>
              <w:jc w:val="center"/>
              <w:rPr>
                <w:rFonts w:ascii="Times New Roman" w:eastAsiaTheme="minorHAnsi" w:hAnsi="Times New Roman"/>
                <w:sz w:val="28"/>
                <w:szCs w:val="28"/>
                <w:lang w:eastAsia="ru-RU"/>
              </w:rPr>
            </w:pPr>
            <w:r w:rsidRPr="009A1F4A">
              <w:rPr>
                <w:rFonts w:ascii="Times New Roman" w:eastAsiaTheme="minorHAnsi" w:hAnsi="Times New Roman"/>
                <w:sz w:val="28"/>
                <w:szCs w:val="28"/>
                <w:lang w:eastAsia="ru-RU"/>
              </w:rPr>
              <w:t>8,2</w:t>
            </w:r>
          </w:p>
        </w:tc>
        <w:tc>
          <w:tcPr>
            <w:tcW w:w="1051" w:type="dxa"/>
            <w:vAlign w:val="center"/>
          </w:tcPr>
          <w:p w:rsidR="0020309F" w:rsidRPr="009A1F4A" w:rsidRDefault="0020309F" w:rsidP="00E80C8C">
            <w:pPr>
              <w:pStyle w:val="a3"/>
              <w:spacing w:after="0" w:line="240" w:lineRule="auto"/>
              <w:ind w:left="0"/>
              <w:contextualSpacing w:val="0"/>
              <w:jc w:val="center"/>
              <w:rPr>
                <w:rFonts w:ascii="Times New Roman" w:eastAsiaTheme="minorHAnsi" w:hAnsi="Times New Roman"/>
                <w:sz w:val="28"/>
                <w:szCs w:val="28"/>
                <w:lang w:eastAsia="ru-RU"/>
              </w:rPr>
            </w:pPr>
            <w:r w:rsidRPr="009A1F4A">
              <w:rPr>
                <w:rFonts w:ascii="Times New Roman" w:eastAsiaTheme="minorHAnsi" w:hAnsi="Times New Roman"/>
                <w:sz w:val="28"/>
                <w:szCs w:val="28"/>
                <w:lang w:eastAsia="ru-RU"/>
              </w:rPr>
              <w:t>8,3</w:t>
            </w:r>
          </w:p>
        </w:tc>
        <w:tc>
          <w:tcPr>
            <w:tcW w:w="949" w:type="dxa"/>
            <w:vAlign w:val="center"/>
          </w:tcPr>
          <w:p w:rsidR="0020309F" w:rsidRPr="009A1F4A" w:rsidRDefault="0020309F" w:rsidP="00E80C8C">
            <w:pPr>
              <w:pStyle w:val="a3"/>
              <w:spacing w:after="0" w:line="240" w:lineRule="auto"/>
              <w:ind w:left="0"/>
              <w:contextualSpacing w:val="0"/>
              <w:jc w:val="center"/>
              <w:rPr>
                <w:rFonts w:ascii="Times New Roman" w:eastAsiaTheme="minorHAnsi" w:hAnsi="Times New Roman"/>
                <w:sz w:val="28"/>
                <w:szCs w:val="28"/>
                <w:lang w:eastAsia="ru-RU"/>
              </w:rPr>
            </w:pPr>
            <w:r w:rsidRPr="009A1F4A">
              <w:rPr>
                <w:rFonts w:ascii="Times New Roman" w:eastAsiaTheme="minorHAnsi" w:hAnsi="Times New Roman"/>
                <w:sz w:val="28"/>
                <w:szCs w:val="28"/>
                <w:lang w:eastAsia="ru-RU"/>
              </w:rPr>
              <w:t>8,4</w:t>
            </w:r>
          </w:p>
        </w:tc>
        <w:tc>
          <w:tcPr>
            <w:tcW w:w="938" w:type="dxa"/>
            <w:vAlign w:val="center"/>
          </w:tcPr>
          <w:p w:rsidR="0020309F" w:rsidRPr="009A1F4A" w:rsidRDefault="0020309F" w:rsidP="00E80C8C">
            <w:pPr>
              <w:pStyle w:val="a3"/>
              <w:spacing w:after="0" w:line="240" w:lineRule="auto"/>
              <w:ind w:left="0"/>
              <w:contextualSpacing w:val="0"/>
              <w:jc w:val="center"/>
              <w:rPr>
                <w:rFonts w:ascii="Times New Roman" w:eastAsiaTheme="minorHAnsi" w:hAnsi="Times New Roman"/>
                <w:sz w:val="28"/>
                <w:szCs w:val="28"/>
                <w:lang w:eastAsia="ru-RU"/>
              </w:rPr>
            </w:pPr>
            <w:r w:rsidRPr="009A1F4A">
              <w:rPr>
                <w:rFonts w:ascii="Times New Roman" w:eastAsiaTheme="minorHAnsi" w:hAnsi="Times New Roman"/>
                <w:sz w:val="28"/>
                <w:szCs w:val="28"/>
                <w:lang w:eastAsia="ru-RU"/>
              </w:rPr>
              <w:t>8,8</w:t>
            </w:r>
          </w:p>
        </w:tc>
        <w:tc>
          <w:tcPr>
            <w:tcW w:w="938" w:type="dxa"/>
            <w:vAlign w:val="center"/>
          </w:tcPr>
          <w:p w:rsidR="0020309F" w:rsidRPr="009A1F4A" w:rsidRDefault="0020309F" w:rsidP="00E80C8C">
            <w:pPr>
              <w:pStyle w:val="a3"/>
              <w:spacing w:after="0" w:line="240" w:lineRule="auto"/>
              <w:ind w:left="0"/>
              <w:contextualSpacing w:val="0"/>
              <w:jc w:val="center"/>
              <w:rPr>
                <w:rFonts w:ascii="Times New Roman" w:eastAsiaTheme="minorHAnsi" w:hAnsi="Times New Roman"/>
                <w:sz w:val="28"/>
                <w:szCs w:val="28"/>
                <w:lang w:eastAsia="ru-RU"/>
              </w:rPr>
            </w:pPr>
            <w:r w:rsidRPr="009A1F4A">
              <w:rPr>
                <w:rFonts w:ascii="Times New Roman" w:eastAsiaTheme="minorHAnsi" w:hAnsi="Times New Roman"/>
                <w:sz w:val="28"/>
                <w:szCs w:val="28"/>
                <w:lang w:eastAsia="ru-RU"/>
              </w:rPr>
              <w:t>9,0</w:t>
            </w:r>
          </w:p>
        </w:tc>
      </w:tr>
    </w:tbl>
    <w:p w:rsidR="0020309F" w:rsidRPr="009A1F4A" w:rsidRDefault="0020309F" w:rsidP="0020309F">
      <w:pPr>
        <w:spacing w:after="0" w:line="240" w:lineRule="auto"/>
        <w:rPr>
          <w:rFonts w:ascii="Times New Roman" w:hAnsi="Times New Roman" w:cs="Times New Roman"/>
          <w:sz w:val="28"/>
          <w:szCs w:val="28"/>
          <w:lang w:eastAsia="ru-RU"/>
        </w:rPr>
      </w:pPr>
    </w:p>
    <w:p w:rsidR="0020309F" w:rsidRPr="009A1F4A" w:rsidRDefault="0020309F" w:rsidP="0020309F">
      <w:pPr>
        <w:spacing w:after="0" w:line="240" w:lineRule="auto"/>
        <w:jc w:val="both"/>
        <w:rPr>
          <w:rFonts w:ascii="Times New Roman" w:hAnsi="Times New Roman" w:cs="Times New Roman"/>
          <w:sz w:val="28"/>
          <w:szCs w:val="28"/>
          <w:lang w:eastAsia="ru-RU"/>
        </w:rPr>
      </w:pPr>
      <w:r w:rsidRPr="009A1F4A">
        <w:rPr>
          <w:rFonts w:ascii="Times New Roman" w:hAnsi="Times New Roman" w:cs="Times New Roman"/>
          <w:sz w:val="28"/>
          <w:szCs w:val="28"/>
          <w:lang w:eastAsia="ru-RU"/>
        </w:rPr>
        <w:lastRenderedPageBreak/>
        <w:drawing>
          <wp:inline distT="0" distB="0" distL="0" distR="0" wp14:anchorId="3BFDE6E9" wp14:editId="16905243">
            <wp:extent cx="6148705" cy="4038600"/>
            <wp:effectExtent l="0" t="0" r="4445" b="0"/>
            <wp:docPr id="12" name="Диаграмма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20309F" w:rsidRPr="009A1F4A" w:rsidRDefault="0020309F" w:rsidP="0020309F">
      <w:pPr>
        <w:spacing w:after="0" w:line="240" w:lineRule="auto"/>
        <w:ind w:firstLine="709"/>
        <w:jc w:val="both"/>
        <w:rPr>
          <w:rFonts w:ascii="Times New Roman" w:hAnsi="Times New Roman" w:cs="Times New Roman"/>
          <w:sz w:val="28"/>
          <w:szCs w:val="28"/>
          <w:lang w:eastAsia="ru-RU"/>
        </w:rPr>
      </w:pPr>
      <w:r w:rsidRPr="009A1F4A">
        <w:rPr>
          <w:rFonts w:ascii="Times New Roman" w:hAnsi="Times New Roman" w:cs="Times New Roman"/>
          <w:sz w:val="28"/>
          <w:szCs w:val="28"/>
          <w:lang w:eastAsia="ru-RU"/>
        </w:rPr>
        <w:t>За период 2010-2014 гг. были построены и введены в эксплуатацию ряд крупнейших объектов генерации, имеющих общегосударственное значение:</w:t>
      </w:r>
    </w:p>
    <w:p w:rsidR="0020309F" w:rsidRPr="009A1F4A" w:rsidRDefault="0020309F" w:rsidP="0020309F">
      <w:pPr>
        <w:spacing w:after="0" w:line="240" w:lineRule="auto"/>
        <w:ind w:firstLine="709"/>
        <w:jc w:val="both"/>
        <w:rPr>
          <w:rFonts w:ascii="Times New Roman" w:hAnsi="Times New Roman" w:cs="Times New Roman"/>
          <w:sz w:val="28"/>
          <w:szCs w:val="28"/>
          <w:lang w:eastAsia="ru-RU"/>
        </w:rPr>
      </w:pPr>
      <w:r w:rsidRPr="009A1F4A">
        <w:rPr>
          <w:rFonts w:ascii="Times New Roman" w:hAnsi="Times New Roman" w:cs="Times New Roman"/>
          <w:sz w:val="28"/>
          <w:szCs w:val="28"/>
          <w:lang w:eastAsia="ru-RU"/>
        </w:rPr>
        <w:t xml:space="preserve">1. Энергоблоки № 7 и № 8 мощностью по 400 мегаватт на </w:t>
      </w:r>
      <w:proofErr w:type="spellStart"/>
      <w:r w:rsidRPr="009A1F4A">
        <w:rPr>
          <w:rFonts w:ascii="Times New Roman" w:hAnsi="Times New Roman" w:cs="Times New Roman"/>
          <w:sz w:val="28"/>
          <w:szCs w:val="28"/>
          <w:lang w:eastAsia="ru-RU"/>
        </w:rPr>
        <w:t>Сургутской</w:t>
      </w:r>
      <w:proofErr w:type="spellEnd"/>
      <w:r w:rsidRPr="009A1F4A">
        <w:rPr>
          <w:rFonts w:ascii="Times New Roman" w:hAnsi="Times New Roman" w:cs="Times New Roman"/>
          <w:sz w:val="28"/>
          <w:szCs w:val="28"/>
          <w:lang w:eastAsia="ru-RU"/>
        </w:rPr>
        <w:t xml:space="preserve"> ГРЭС-2 (</w:t>
      </w:r>
      <w:proofErr w:type="spellStart"/>
      <w:r w:rsidRPr="009A1F4A">
        <w:rPr>
          <w:rFonts w:ascii="Times New Roman" w:hAnsi="Times New Roman" w:cs="Times New Roman"/>
          <w:sz w:val="28"/>
          <w:szCs w:val="28"/>
          <w:lang w:eastAsia="ru-RU"/>
        </w:rPr>
        <w:t>ОАО</w:t>
      </w:r>
      <w:proofErr w:type="spellEnd"/>
      <w:r w:rsidRPr="009A1F4A">
        <w:rPr>
          <w:rFonts w:ascii="Times New Roman" w:hAnsi="Times New Roman" w:cs="Times New Roman"/>
          <w:sz w:val="28"/>
          <w:szCs w:val="28"/>
          <w:lang w:eastAsia="ru-RU"/>
        </w:rPr>
        <w:t xml:space="preserve"> «</w:t>
      </w:r>
      <w:proofErr w:type="spellStart"/>
      <w:r w:rsidRPr="009A1F4A">
        <w:rPr>
          <w:rFonts w:ascii="Times New Roman" w:hAnsi="Times New Roman" w:cs="Times New Roman"/>
          <w:sz w:val="28"/>
          <w:szCs w:val="28"/>
          <w:lang w:eastAsia="ru-RU"/>
        </w:rPr>
        <w:t>Э.ОН</w:t>
      </w:r>
      <w:proofErr w:type="spellEnd"/>
      <w:r w:rsidRPr="009A1F4A">
        <w:rPr>
          <w:rFonts w:ascii="Times New Roman" w:hAnsi="Times New Roman" w:cs="Times New Roman"/>
          <w:sz w:val="28"/>
          <w:szCs w:val="28"/>
          <w:lang w:eastAsia="ru-RU"/>
        </w:rPr>
        <w:t xml:space="preserve"> Россия»). Введены в эксплуатацию 25 июля 2011 года. Объем инвестиций составил 32,3 млрд. руб.</w:t>
      </w:r>
    </w:p>
    <w:p w:rsidR="0020309F" w:rsidRPr="009A1F4A" w:rsidRDefault="0020309F" w:rsidP="0020309F">
      <w:pPr>
        <w:spacing w:after="0" w:line="240" w:lineRule="auto"/>
        <w:ind w:firstLine="709"/>
        <w:jc w:val="both"/>
        <w:rPr>
          <w:rFonts w:ascii="Times New Roman" w:hAnsi="Times New Roman" w:cs="Times New Roman"/>
          <w:sz w:val="28"/>
          <w:szCs w:val="28"/>
          <w:lang w:eastAsia="ru-RU"/>
        </w:rPr>
      </w:pPr>
      <w:r w:rsidRPr="009A1F4A">
        <w:rPr>
          <w:rFonts w:ascii="Times New Roman" w:hAnsi="Times New Roman" w:cs="Times New Roman"/>
          <w:sz w:val="28"/>
          <w:szCs w:val="28"/>
          <w:lang w:eastAsia="ru-RU"/>
        </w:rPr>
        <w:t xml:space="preserve">2. Три энергоблока мощностью по 418 мегаватт на </w:t>
      </w:r>
      <w:proofErr w:type="spellStart"/>
      <w:r w:rsidRPr="009A1F4A">
        <w:rPr>
          <w:rFonts w:ascii="Times New Roman" w:hAnsi="Times New Roman" w:cs="Times New Roman"/>
          <w:sz w:val="28"/>
          <w:szCs w:val="28"/>
          <w:lang w:eastAsia="ru-RU"/>
        </w:rPr>
        <w:t>Няганской</w:t>
      </w:r>
      <w:proofErr w:type="spellEnd"/>
      <w:r w:rsidRPr="009A1F4A">
        <w:rPr>
          <w:rFonts w:ascii="Times New Roman" w:hAnsi="Times New Roman" w:cs="Times New Roman"/>
          <w:sz w:val="28"/>
          <w:szCs w:val="28"/>
          <w:lang w:eastAsia="ru-RU"/>
        </w:rPr>
        <w:t xml:space="preserve"> ГРЭС (</w:t>
      </w:r>
      <w:proofErr w:type="spellStart"/>
      <w:r w:rsidRPr="009A1F4A">
        <w:rPr>
          <w:rFonts w:ascii="Times New Roman" w:hAnsi="Times New Roman" w:cs="Times New Roman"/>
          <w:sz w:val="28"/>
          <w:szCs w:val="28"/>
          <w:lang w:eastAsia="ru-RU"/>
        </w:rPr>
        <w:t>ОАО</w:t>
      </w:r>
      <w:proofErr w:type="spellEnd"/>
      <w:r w:rsidRPr="009A1F4A">
        <w:rPr>
          <w:rFonts w:ascii="Times New Roman" w:hAnsi="Times New Roman" w:cs="Times New Roman"/>
          <w:sz w:val="28"/>
          <w:szCs w:val="28"/>
          <w:lang w:eastAsia="ru-RU"/>
        </w:rPr>
        <w:t xml:space="preserve"> «</w:t>
      </w:r>
      <w:proofErr w:type="spellStart"/>
      <w:r w:rsidRPr="009A1F4A">
        <w:rPr>
          <w:rFonts w:ascii="Times New Roman" w:hAnsi="Times New Roman" w:cs="Times New Roman"/>
          <w:sz w:val="28"/>
          <w:szCs w:val="28"/>
          <w:lang w:eastAsia="ru-RU"/>
        </w:rPr>
        <w:t>Фортум</w:t>
      </w:r>
      <w:proofErr w:type="spellEnd"/>
      <w:r w:rsidRPr="009A1F4A">
        <w:rPr>
          <w:rFonts w:ascii="Times New Roman" w:hAnsi="Times New Roman" w:cs="Times New Roman"/>
          <w:sz w:val="28"/>
          <w:szCs w:val="28"/>
          <w:lang w:eastAsia="ru-RU"/>
        </w:rPr>
        <w:t>»). Первый энергоблок введен 25 марта 2013 года, второй энергоблок введен – 3 ноября 2013 года, третий энергоблок введен – 1 декабря 2014 года. Объем инвестиций составил 62,5 млрд. рублей.</w:t>
      </w:r>
    </w:p>
    <w:p w:rsidR="0020309F" w:rsidRPr="009A1F4A" w:rsidRDefault="0020309F" w:rsidP="0020309F">
      <w:pPr>
        <w:spacing w:after="0" w:line="240" w:lineRule="auto"/>
        <w:ind w:firstLine="708"/>
        <w:jc w:val="both"/>
        <w:rPr>
          <w:rFonts w:ascii="Times New Roman" w:hAnsi="Times New Roman" w:cs="Times New Roman"/>
          <w:sz w:val="28"/>
          <w:szCs w:val="28"/>
          <w:lang w:eastAsia="ru-RU"/>
        </w:rPr>
      </w:pPr>
      <w:r w:rsidRPr="009A1F4A">
        <w:rPr>
          <w:rFonts w:ascii="Times New Roman" w:hAnsi="Times New Roman" w:cs="Times New Roman"/>
          <w:sz w:val="28"/>
          <w:szCs w:val="28"/>
          <w:lang w:eastAsia="ru-RU"/>
        </w:rPr>
        <w:t xml:space="preserve">3. Энергоблок   № 3 мощностью 410 мегаватт на </w:t>
      </w:r>
      <w:proofErr w:type="spellStart"/>
      <w:r w:rsidRPr="009A1F4A">
        <w:rPr>
          <w:rFonts w:ascii="Times New Roman" w:hAnsi="Times New Roman" w:cs="Times New Roman"/>
          <w:sz w:val="28"/>
          <w:szCs w:val="28"/>
          <w:lang w:eastAsia="ru-RU"/>
        </w:rPr>
        <w:t>Нижневартовской</w:t>
      </w:r>
      <w:proofErr w:type="spellEnd"/>
      <w:r w:rsidRPr="009A1F4A">
        <w:rPr>
          <w:rFonts w:ascii="Times New Roman" w:hAnsi="Times New Roman" w:cs="Times New Roman"/>
          <w:sz w:val="28"/>
          <w:szCs w:val="28"/>
          <w:lang w:eastAsia="ru-RU"/>
        </w:rPr>
        <w:t xml:space="preserve"> ГРЭС (</w:t>
      </w:r>
      <w:proofErr w:type="spellStart"/>
      <w:r w:rsidRPr="009A1F4A">
        <w:rPr>
          <w:rFonts w:ascii="Times New Roman" w:hAnsi="Times New Roman" w:cs="Times New Roman"/>
          <w:sz w:val="28"/>
          <w:szCs w:val="28"/>
          <w:lang w:eastAsia="ru-RU"/>
        </w:rPr>
        <w:t>ОАО</w:t>
      </w:r>
      <w:proofErr w:type="spellEnd"/>
      <w:r w:rsidRPr="009A1F4A">
        <w:rPr>
          <w:rFonts w:ascii="Times New Roman" w:hAnsi="Times New Roman" w:cs="Times New Roman"/>
          <w:sz w:val="28"/>
          <w:szCs w:val="28"/>
          <w:lang w:eastAsia="ru-RU"/>
        </w:rPr>
        <w:t xml:space="preserve"> «</w:t>
      </w:r>
      <w:proofErr w:type="spellStart"/>
      <w:r w:rsidRPr="009A1F4A">
        <w:rPr>
          <w:rFonts w:ascii="Times New Roman" w:hAnsi="Times New Roman" w:cs="Times New Roman"/>
          <w:sz w:val="28"/>
          <w:szCs w:val="28"/>
          <w:lang w:eastAsia="ru-RU"/>
        </w:rPr>
        <w:t>Интер</w:t>
      </w:r>
      <w:proofErr w:type="spellEnd"/>
      <w:r w:rsidRPr="009A1F4A">
        <w:rPr>
          <w:rFonts w:ascii="Times New Roman" w:hAnsi="Times New Roman" w:cs="Times New Roman"/>
          <w:sz w:val="28"/>
          <w:szCs w:val="28"/>
          <w:lang w:eastAsia="ru-RU"/>
        </w:rPr>
        <w:t xml:space="preserve"> РАО ЕЭС» совместно с </w:t>
      </w:r>
      <w:proofErr w:type="spellStart"/>
      <w:r w:rsidRPr="009A1F4A">
        <w:rPr>
          <w:rFonts w:ascii="Times New Roman" w:hAnsi="Times New Roman" w:cs="Times New Roman"/>
          <w:sz w:val="28"/>
          <w:szCs w:val="28"/>
          <w:lang w:eastAsia="ru-RU"/>
        </w:rPr>
        <w:t>ОАО</w:t>
      </w:r>
      <w:proofErr w:type="spellEnd"/>
      <w:r w:rsidRPr="009A1F4A">
        <w:rPr>
          <w:rFonts w:ascii="Times New Roman" w:hAnsi="Times New Roman" w:cs="Times New Roman"/>
          <w:sz w:val="28"/>
          <w:szCs w:val="28"/>
          <w:lang w:eastAsia="ru-RU"/>
        </w:rPr>
        <w:t xml:space="preserve"> «</w:t>
      </w:r>
      <w:proofErr w:type="spellStart"/>
      <w:r w:rsidRPr="009A1F4A">
        <w:rPr>
          <w:rFonts w:ascii="Times New Roman" w:hAnsi="Times New Roman" w:cs="Times New Roman"/>
          <w:sz w:val="28"/>
          <w:szCs w:val="28"/>
          <w:lang w:eastAsia="ru-RU"/>
        </w:rPr>
        <w:t>НК</w:t>
      </w:r>
      <w:proofErr w:type="spellEnd"/>
      <w:r w:rsidRPr="009A1F4A">
        <w:rPr>
          <w:rFonts w:ascii="Times New Roman" w:hAnsi="Times New Roman" w:cs="Times New Roman"/>
          <w:sz w:val="28"/>
          <w:szCs w:val="28"/>
          <w:lang w:eastAsia="ru-RU"/>
        </w:rPr>
        <w:t xml:space="preserve"> «Роснефть»). Введен в эксплуатацию 14 марта 2014 года. Объем инвестиций составил 19,9 млрд. рублей.</w:t>
      </w:r>
    </w:p>
    <w:p w:rsidR="0020309F" w:rsidRPr="009A1F4A" w:rsidRDefault="0020309F" w:rsidP="0020309F">
      <w:pPr>
        <w:spacing w:after="0" w:line="240" w:lineRule="auto"/>
        <w:ind w:firstLine="708"/>
        <w:jc w:val="both"/>
        <w:rPr>
          <w:rFonts w:ascii="Times New Roman" w:hAnsi="Times New Roman" w:cs="Times New Roman"/>
          <w:sz w:val="28"/>
          <w:szCs w:val="28"/>
          <w:lang w:eastAsia="ru-RU"/>
        </w:rPr>
      </w:pPr>
      <w:r w:rsidRPr="009A1F4A">
        <w:rPr>
          <w:rFonts w:ascii="Times New Roman" w:hAnsi="Times New Roman" w:cs="Times New Roman"/>
          <w:sz w:val="28"/>
          <w:szCs w:val="28"/>
          <w:lang w:eastAsia="ru-RU"/>
        </w:rPr>
        <w:t xml:space="preserve">4. Три очереди по 135 МВт Приобской </w:t>
      </w:r>
      <w:proofErr w:type="spellStart"/>
      <w:r w:rsidRPr="009A1F4A">
        <w:rPr>
          <w:rFonts w:ascii="Times New Roman" w:hAnsi="Times New Roman" w:cs="Times New Roman"/>
          <w:sz w:val="28"/>
          <w:szCs w:val="28"/>
          <w:lang w:eastAsia="ru-RU"/>
        </w:rPr>
        <w:t>ГТЭС</w:t>
      </w:r>
      <w:proofErr w:type="spellEnd"/>
      <w:r w:rsidRPr="009A1F4A">
        <w:rPr>
          <w:rFonts w:ascii="Times New Roman" w:hAnsi="Times New Roman" w:cs="Times New Roman"/>
          <w:sz w:val="28"/>
          <w:szCs w:val="28"/>
          <w:lang w:eastAsia="ru-RU"/>
        </w:rPr>
        <w:t xml:space="preserve"> общей мощностью 315 МВт (ООО «РН-</w:t>
      </w:r>
      <w:proofErr w:type="spellStart"/>
      <w:r w:rsidRPr="009A1F4A">
        <w:rPr>
          <w:rFonts w:ascii="Times New Roman" w:hAnsi="Times New Roman" w:cs="Times New Roman"/>
          <w:sz w:val="28"/>
          <w:szCs w:val="28"/>
          <w:lang w:eastAsia="ru-RU"/>
        </w:rPr>
        <w:t>Юганскнефтегаз</w:t>
      </w:r>
      <w:proofErr w:type="spellEnd"/>
      <w:r w:rsidRPr="009A1F4A">
        <w:rPr>
          <w:rFonts w:ascii="Times New Roman" w:hAnsi="Times New Roman" w:cs="Times New Roman"/>
          <w:sz w:val="28"/>
          <w:szCs w:val="28"/>
          <w:lang w:eastAsia="ru-RU"/>
        </w:rPr>
        <w:t>»). Третья очередь введена в эксплуатацию в ноябре 2011 года. Объем инвестиций составил 13 млрд. руб.</w:t>
      </w:r>
    </w:p>
    <w:p w:rsidR="0020309F" w:rsidRPr="009A1F4A" w:rsidRDefault="0020309F" w:rsidP="0020309F">
      <w:pPr>
        <w:spacing w:after="0" w:line="240" w:lineRule="auto"/>
        <w:ind w:firstLine="708"/>
        <w:jc w:val="both"/>
        <w:rPr>
          <w:rFonts w:ascii="Times New Roman" w:hAnsi="Times New Roman" w:cs="Times New Roman"/>
          <w:sz w:val="28"/>
          <w:szCs w:val="28"/>
          <w:lang w:eastAsia="ru-RU"/>
        </w:rPr>
      </w:pPr>
    </w:p>
    <w:p w:rsidR="0020309F" w:rsidRPr="009A1F4A" w:rsidRDefault="0020309F" w:rsidP="0020309F">
      <w:pPr>
        <w:spacing w:after="0" w:line="240" w:lineRule="auto"/>
        <w:ind w:firstLine="708"/>
        <w:jc w:val="both"/>
        <w:rPr>
          <w:rFonts w:ascii="Times New Roman" w:hAnsi="Times New Roman" w:cs="Times New Roman"/>
          <w:sz w:val="28"/>
          <w:szCs w:val="28"/>
          <w:lang w:eastAsia="ru-RU"/>
        </w:rPr>
      </w:pPr>
      <w:r w:rsidRPr="009A1F4A">
        <w:rPr>
          <w:rFonts w:ascii="Times New Roman" w:hAnsi="Times New Roman" w:cs="Times New Roman"/>
          <w:sz w:val="28"/>
          <w:szCs w:val="28"/>
          <w:lang w:eastAsia="ru-RU"/>
        </w:rPr>
        <w:t xml:space="preserve">В целях реализации Федерального закона № 261-ФЗ «Об энергосбережении и о повышении энергетической эффективности …» на 1 января 2015 года оснащение приборами учета бюджетных организаций автономного округа по всем видам ресурсов составляет 100% было установлено более 10 тыс. приборов учета. </w:t>
      </w:r>
    </w:p>
    <w:p w:rsidR="0020309F" w:rsidRPr="009A1F4A" w:rsidRDefault="0020309F" w:rsidP="0020309F">
      <w:pPr>
        <w:spacing w:after="0" w:line="240" w:lineRule="auto"/>
        <w:ind w:firstLine="708"/>
        <w:jc w:val="both"/>
        <w:rPr>
          <w:rFonts w:ascii="Times New Roman" w:hAnsi="Times New Roman" w:cs="Times New Roman"/>
          <w:sz w:val="28"/>
          <w:szCs w:val="28"/>
          <w:lang w:eastAsia="ru-RU"/>
        </w:rPr>
      </w:pPr>
      <w:r w:rsidRPr="009A1F4A">
        <w:rPr>
          <w:rFonts w:ascii="Times New Roman" w:hAnsi="Times New Roman" w:cs="Times New Roman"/>
          <w:sz w:val="28"/>
          <w:szCs w:val="28"/>
          <w:lang w:eastAsia="ru-RU"/>
        </w:rPr>
        <w:t xml:space="preserve">Так же все государственные и муниципальные учреждения бюджетной сферы автономного округа прошли обязательные энергетические обследования (1440 организаций). По результатам которых, данными </w:t>
      </w:r>
      <w:r w:rsidRPr="009A1F4A">
        <w:rPr>
          <w:rFonts w:ascii="Times New Roman" w:hAnsi="Times New Roman" w:cs="Times New Roman"/>
          <w:sz w:val="28"/>
          <w:szCs w:val="28"/>
          <w:lang w:eastAsia="ru-RU"/>
        </w:rPr>
        <w:lastRenderedPageBreak/>
        <w:t>учреждениями были разработаны и утверждены программы по энергосбережению.</w:t>
      </w:r>
    </w:p>
    <w:p w:rsidR="0020309F" w:rsidRPr="009A1F4A" w:rsidRDefault="0020309F" w:rsidP="0020309F">
      <w:pPr>
        <w:spacing w:after="0" w:line="240" w:lineRule="auto"/>
        <w:ind w:firstLine="708"/>
        <w:jc w:val="both"/>
        <w:rPr>
          <w:rFonts w:ascii="Times New Roman" w:hAnsi="Times New Roman" w:cs="Times New Roman"/>
          <w:sz w:val="28"/>
          <w:szCs w:val="28"/>
          <w:lang w:eastAsia="ru-RU"/>
        </w:rPr>
      </w:pPr>
      <w:r w:rsidRPr="009A1F4A">
        <w:rPr>
          <w:rFonts w:ascii="Times New Roman" w:hAnsi="Times New Roman" w:cs="Times New Roman"/>
          <w:sz w:val="28"/>
          <w:szCs w:val="28"/>
          <w:lang w:eastAsia="ru-RU"/>
        </w:rPr>
        <w:t>В соответствии с утвержденными программами в области энергосбережения бюджетными учреждениями автономного округа реализовывались мероприятия по энергосбережению и по результатам анализа показателей в бюджетной сфере определено, что общая экономия энергетических ресурсов за период 2009-2014 годы составила 9,6 %, а в сопоставимых условиях экономия составила 15,3 %, что выше требований федерального законодательства на 0,3%.</w:t>
      </w:r>
    </w:p>
    <w:p w:rsidR="0020309F" w:rsidRPr="009A1F4A" w:rsidRDefault="0020309F" w:rsidP="0020309F">
      <w:pPr>
        <w:spacing w:after="0" w:line="240" w:lineRule="auto"/>
        <w:ind w:firstLine="708"/>
        <w:jc w:val="both"/>
        <w:rPr>
          <w:rFonts w:ascii="Times New Roman" w:hAnsi="Times New Roman" w:cs="Times New Roman"/>
          <w:sz w:val="28"/>
          <w:szCs w:val="28"/>
          <w:lang w:eastAsia="ru-RU"/>
        </w:rPr>
      </w:pPr>
    </w:p>
    <w:p w:rsidR="0020309F" w:rsidRDefault="0020309F" w:rsidP="00912D8A">
      <w:pPr>
        <w:widowControl w:val="0"/>
        <w:autoSpaceDE w:val="0"/>
        <w:autoSpaceDN w:val="0"/>
        <w:adjustRightInd w:val="0"/>
        <w:spacing w:after="0" w:line="240" w:lineRule="auto"/>
        <w:ind w:firstLine="708"/>
        <w:jc w:val="both"/>
        <w:rPr>
          <w:rFonts w:ascii="Times New Roman" w:hAnsi="Times New Roman" w:cs="Times New Roman"/>
          <w:sz w:val="28"/>
          <w:szCs w:val="28"/>
        </w:rPr>
      </w:pPr>
    </w:p>
    <w:p w:rsidR="0020309F" w:rsidRPr="00912D8A" w:rsidRDefault="0020309F" w:rsidP="00912D8A">
      <w:pPr>
        <w:widowControl w:val="0"/>
        <w:autoSpaceDE w:val="0"/>
        <w:autoSpaceDN w:val="0"/>
        <w:adjustRightInd w:val="0"/>
        <w:spacing w:after="0" w:line="240" w:lineRule="auto"/>
        <w:ind w:firstLine="708"/>
        <w:jc w:val="both"/>
        <w:rPr>
          <w:rFonts w:ascii="Times New Roman" w:hAnsi="Times New Roman" w:cs="Times New Roman"/>
          <w:sz w:val="28"/>
          <w:szCs w:val="28"/>
        </w:rPr>
      </w:pPr>
    </w:p>
    <w:sectPr w:rsidR="0020309F" w:rsidRPr="00912D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91E"/>
    <w:rsid w:val="00035EEE"/>
    <w:rsid w:val="00065A9F"/>
    <w:rsid w:val="000F40AE"/>
    <w:rsid w:val="001227B2"/>
    <w:rsid w:val="00186F69"/>
    <w:rsid w:val="001B466F"/>
    <w:rsid w:val="0020309F"/>
    <w:rsid w:val="0066191E"/>
    <w:rsid w:val="00705A73"/>
    <w:rsid w:val="00912D8A"/>
    <w:rsid w:val="009A1F4A"/>
    <w:rsid w:val="00A577A5"/>
    <w:rsid w:val="00AE326C"/>
    <w:rsid w:val="00CB17EB"/>
    <w:rsid w:val="00CE32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0389A9-9851-4B43-AE5A-D82AEF2C0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191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309F"/>
    <w:pPr>
      <w:spacing w:after="200" w:line="276" w:lineRule="auto"/>
      <w:ind w:left="720"/>
      <w:contextualSpacing/>
    </w:pPr>
    <w:rPr>
      <w:rFonts w:ascii="Calibri" w:eastAsia="Calibri" w:hAnsi="Calibri" w:cs="Times New Roman"/>
    </w:rPr>
  </w:style>
  <w:style w:type="paragraph" w:styleId="a4">
    <w:name w:val="List"/>
    <w:basedOn w:val="a"/>
    <w:uiPriority w:val="99"/>
    <w:rsid w:val="0020309F"/>
    <w:pPr>
      <w:spacing w:after="0" w:line="240" w:lineRule="auto"/>
      <w:ind w:left="283" w:hanging="283"/>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9A1F4A"/>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A1F4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hart" Target="charts/chart3.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chart" Target="charts/chart2.xml"/><Relationship Id="rId10" Type="http://schemas.openxmlformats.org/officeDocument/2006/relationships/image" Target="media/image6.png"/><Relationship Id="rId4" Type="http://schemas.openxmlformats.org/officeDocument/2006/relationships/chart" Target="charts/chart1.xml"/><Relationship Id="rId9" Type="http://schemas.openxmlformats.org/officeDocument/2006/relationships/image" Target="media/image5.png"/><Relationship Id="rId14" Type="http://schemas.openxmlformats.org/officeDocument/2006/relationships/image" Target="media/image10.png"/></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file:///C:\Users\ShestakovAV\Desktop\&#1050;&#1086;&#1073;&#1079;&#1072;&#1088;&#1077;&#1074;\&#1055;&#1088;&#1086;&#1095;&#1077;&#1077;\&#1055;&#1088;&#1080;&#1084;&#1077;&#1088;&#1099;%20&#1087;&#1088;&#1077;&#1079;&#1080;&#1085;&#1090;&#1072;&#1094;&#1080;&#1081;\&#1044;&#1086;&#1082;&#1083;&#1072;&#1076;%20&#1085;&#1072;%20&#1089;&#1086;&#1074;&#1077;&#1090;%20&#1075;&#1083;&#1072;&#1074;%20&#1052;&#1054;%20&#1086;&#1090;%2009.07.2010\&#1079;&#1072;&#1076;&#1086;&#1083;&#1078;&#1077;&#1085;&#1085;&#1086;&#1089;&#1090;&#1100;.xls" TargetMode="External"/><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file:///C:\Users\ShestakovAV\Desktop\&#1050;&#1086;&#1073;&#1079;&#1072;&#1088;&#1077;&#1074;\&#1055;&#1088;&#1086;&#1095;&#1077;&#1077;\&#1055;&#1088;&#1080;&#1084;&#1077;&#1088;&#1099;%20&#1087;&#1088;&#1077;&#1079;&#1080;&#1085;&#1090;&#1072;&#1094;&#1080;&#1081;\&#1044;&#1086;&#1082;&#1083;&#1072;&#1076;%20&#1085;&#1072;%20&#1089;&#1086;&#1074;&#1077;&#1090;%20&#1075;&#1083;&#1072;&#1074;%20&#1052;&#1054;%20&#1086;&#1090;%2009.07.2010\&#1079;&#1072;&#1076;&#1086;&#1083;&#1078;&#1077;&#1085;&#1085;&#1086;&#1089;&#1090;&#1100;.xls"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ru-RU" sz="1200" baseline="0"/>
              <a:t>Структура источников финансирования государственной программы в 2014 году (млн. руб.; %)</a:t>
            </a:r>
          </a:p>
          <a:p>
            <a:pPr>
              <a:defRPr/>
            </a:pPr>
            <a:endParaRPr lang="ru-RU" sz="1200" baseline="0"/>
          </a:p>
        </c:rich>
      </c:tx>
      <c:layout>
        <c:manualLayout>
          <c:xMode val="edge"/>
          <c:yMode val="edge"/>
          <c:x val="0.15083189732763494"/>
          <c:y val="1.857700167193015E-2"/>
        </c:manualLayout>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ru-RU"/>
        </a:p>
      </c:txPr>
    </c:title>
    <c:autoTitleDeleted val="0"/>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1.0683882395992763E-2"/>
          <c:y val="0.17732903673126685"/>
          <c:w val="0.6712016557659819"/>
          <c:h val="0.81364956168515346"/>
        </c:manualLayout>
      </c:layout>
      <c:pie3DChart>
        <c:varyColors val="1"/>
        <c:ser>
          <c:idx val="0"/>
          <c:order val="0"/>
          <c:tx>
            <c:strRef>
              <c:f>Лист1!$B$1</c:f>
              <c:strCache>
                <c:ptCount val="1"/>
                <c:pt idx="0">
                  <c:v>сумма</c:v>
                </c:pt>
              </c:strCache>
            </c:strRef>
          </c:tx>
          <c:dPt>
            <c:idx val="0"/>
            <c:bubble3D val="0"/>
            <c:spPr>
              <a:solidFill>
                <a:schemeClr val="accent5">
                  <a:tint val="58000"/>
                </a:schemeClr>
              </a:solidFill>
              <a:ln>
                <a:noFill/>
              </a:ln>
              <a:effectLst>
                <a:outerShdw blurRad="254000" sx="102000" sy="102000" algn="ctr" rotWithShape="0">
                  <a:prstClr val="black">
                    <a:alpha val="20000"/>
                  </a:prstClr>
                </a:outerShdw>
              </a:effectLst>
              <a:sp3d/>
            </c:spPr>
          </c:dPt>
          <c:dPt>
            <c:idx val="1"/>
            <c:bubble3D val="0"/>
            <c:spPr>
              <a:solidFill>
                <a:schemeClr val="accent5">
                  <a:tint val="86000"/>
                </a:schemeClr>
              </a:solidFill>
              <a:ln>
                <a:noFill/>
              </a:ln>
              <a:effectLst>
                <a:outerShdw blurRad="254000" sx="102000" sy="102000" algn="ctr" rotWithShape="0">
                  <a:prstClr val="black">
                    <a:alpha val="20000"/>
                  </a:prstClr>
                </a:outerShdw>
              </a:effectLst>
              <a:sp3d/>
            </c:spPr>
          </c:dPt>
          <c:dPt>
            <c:idx val="2"/>
            <c:bubble3D val="0"/>
            <c:spPr>
              <a:solidFill>
                <a:schemeClr val="accent5">
                  <a:shade val="86000"/>
                </a:schemeClr>
              </a:solidFill>
              <a:ln>
                <a:noFill/>
              </a:ln>
              <a:effectLst>
                <a:outerShdw blurRad="254000" sx="102000" sy="102000" algn="ctr" rotWithShape="0">
                  <a:prstClr val="black">
                    <a:alpha val="20000"/>
                  </a:prstClr>
                </a:outerShdw>
              </a:effectLst>
              <a:sp3d/>
            </c:spPr>
          </c:dPt>
          <c:dPt>
            <c:idx val="3"/>
            <c:bubble3D val="0"/>
            <c:spPr>
              <a:solidFill>
                <a:schemeClr val="accent5">
                  <a:shade val="58000"/>
                </a:schemeClr>
              </a:solidFill>
              <a:ln>
                <a:noFill/>
              </a:ln>
              <a:effectLst>
                <a:outerShdw blurRad="254000" sx="102000" sy="102000" algn="ctr" rotWithShape="0">
                  <a:prstClr val="black">
                    <a:alpha val="20000"/>
                  </a:prstClr>
                </a:outerShdw>
              </a:effectLst>
              <a:sp3d/>
            </c:spPr>
          </c:dPt>
          <c:dLbls>
            <c:dLbl>
              <c:idx val="0"/>
              <c:layout>
                <c:manualLayout>
                  <c:x val="-3.577238795563817E-3"/>
                  <c:y val="5.4212664249218183E-3"/>
                </c:manualLayout>
              </c:layout>
              <c:dLblPos val="bestFit"/>
              <c:showLegendKey val="0"/>
              <c:showVal val="1"/>
              <c:showCatName val="0"/>
              <c:showSerName val="0"/>
              <c:showPercent val="1"/>
              <c:showBubbleSize val="0"/>
              <c:extLst>
                <c:ext xmlns:c15="http://schemas.microsoft.com/office/drawing/2012/chart" uri="{CE6537A1-D6FC-4f65-9D91-7224C49458BB}"/>
              </c:extLst>
            </c:dLbl>
            <c:dLbl>
              <c:idx val="1"/>
              <c:layout>
                <c:manualLayout>
                  <c:x val="-5.2509213959074125E-2"/>
                  <c:y val="7.0271970229989128E-2"/>
                </c:manualLayout>
              </c:layout>
              <c:dLblPos val="bestFit"/>
              <c:showLegendKey val="0"/>
              <c:showVal val="1"/>
              <c:showCatName val="0"/>
              <c:showSerName val="0"/>
              <c:showPercent val="1"/>
              <c:showBubbleSize val="0"/>
              <c:extLst>
                <c:ext xmlns:c15="http://schemas.microsoft.com/office/drawing/2012/chart" uri="{CE6537A1-D6FC-4f65-9D91-7224C49458BB}"/>
              </c:extLst>
            </c:dLbl>
            <c:dLbl>
              <c:idx val="2"/>
              <c:layout>
                <c:manualLayout>
                  <c:x val="-4.5950548442902264E-2"/>
                  <c:y val="-0.10845663147763226"/>
                </c:manualLayout>
              </c:layout>
              <c:dLblPos val="bestFit"/>
              <c:showLegendKey val="0"/>
              <c:showVal val="1"/>
              <c:showCatName val="0"/>
              <c:showSerName val="0"/>
              <c:showPercent val="1"/>
              <c:showBubbleSize val="0"/>
              <c:extLst>
                <c:ext xmlns:c15="http://schemas.microsoft.com/office/drawing/2012/chart" uri="{CE6537A1-D6FC-4f65-9D91-7224C49458BB}"/>
              </c:extLst>
            </c:dLbl>
            <c:dLbl>
              <c:idx val="3"/>
              <c:layout>
                <c:manualLayout>
                  <c:x val="0.18067371556016054"/>
                  <c:y val="-9.2950832381322943E-2"/>
                </c:manualLayout>
              </c:layout>
              <c:dLblPos val="bestFit"/>
              <c:showLegendKey val="0"/>
              <c:showVal val="1"/>
              <c:showCatName val="0"/>
              <c:showSerName val="0"/>
              <c:showPercent val="1"/>
              <c:showBubbleSize val="0"/>
              <c:extLst>
                <c:ext xmlns:c15="http://schemas.microsoft.com/office/drawing/2012/chart" uri="{CE6537A1-D6FC-4f65-9D91-7224C49458BB}"/>
              </c:extLst>
            </c:dLbl>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ru-RU"/>
              </a:p>
            </c:txPr>
            <c:dLblPos val="ctr"/>
            <c:showLegendKey val="0"/>
            <c:showVal val="1"/>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Лист1!$A$2:$A$5</c:f>
              <c:strCache>
                <c:ptCount val="4"/>
                <c:pt idx="0">
                  <c:v>Федеральный бюджет</c:v>
                </c:pt>
                <c:pt idx="1">
                  <c:v>Бюджет автономного округа</c:v>
                </c:pt>
                <c:pt idx="2">
                  <c:v>Бюджет муниципальных образований</c:v>
                </c:pt>
                <c:pt idx="3">
                  <c:v>Иные внебюджетные источники</c:v>
                </c:pt>
              </c:strCache>
            </c:strRef>
          </c:cat>
          <c:val>
            <c:numRef>
              <c:f>Лист1!$B$2:$B$5</c:f>
              <c:numCache>
                <c:formatCode>General</c:formatCode>
                <c:ptCount val="4"/>
                <c:pt idx="0">
                  <c:v>74.2</c:v>
                </c:pt>
                <c:pt idx="1">
                  <c:v>2976.3</c:v>
                </c:pt>
                <c:pt idx="2">
                  <c:v>619</c:v>
                </c:pt>
                <c:pt idx="3">
                  <c:v>6419.9</c:v>
                </c:pt>
              </c:numCache>
            </c:numRef>
          </c:val>
        </c:ser>
        <c:ser>
          <c:idx val="1"/>
          <c:order val="1"/>
          <c:tx>
            <c:strRef>
              <c:f>Лист1!$C$1</c:f>
              <c:strCache>
                <c:ptCount val="1"/>
                <c:pt idx="0">
                  <c:v>%</c:v>
                </c:pt>
              </c:strCache>
            </c:strRef>
          </c:tx>
          <c:dPt>
            <c:idx val="0"/>
            <c:bubble3D val="0"/>
            <c:spPr>
              <a:solidFill>
                <a:schemeClr val="accent5">
                  <a:tint val="58000"/>
                </a:schemeClr>
              </a:solidFill>
              <a:ln>
                <a:noFill/>
              </a:ln>
              <a:effectLst>
                <a:outerShdw blurRad="254000" sx="102000" sy="102000" algn="ctr" rotWithShape="0">
                  <a:prstClr val="black">
                    <a:alpha val="20000"/>
                  </a:prstClr>
                </a:outerShdw>
              </a:effectLst>
              <a:sp3d/>
            </c:spPr>
          </c:dPt>
          <c:dPt>
            <c:idx val="1"/>
            <c:bubble3D val="0"/>
            <c:spPr>
              <a:solidFill>
                <a:schemeClr val="accent5">
                  <a:tint val="86000"/>
                </a:schemeClr>
              </a:solidFill>
              <a:ln>
                <a:noFill/>
              </a:ln>
              <a:effectLst>
                <a:outerShdw blurRad="254000" sx="102000" sy="102000" algn="ctr" rotWithShape="0">
                  <a:prstClr val="black">
                    <a:alpha val="20000"/>
                  </a:prstClr>
                </a:outerShdw>
              </a:effectLst>
              <a:sp3d/>
            </c:spPr>
          </c:dPt>
          <c:dPt>
            <c:idx val="2"/>
            <c:bubble3D val="0"/>
            <c:spPr>
              <a:solidFill>
                <a:schemeClr val="accent5">
                  <a:shade val="86000"/>
                </a:schemeClr>
              </a:solidFill>
              <a:ln>
                <a:noFill/>
              </a:ln>
              <a:effectLst>
                <a:outerShdw blurRad="254000" sx="102000" sy="102000" algn="ctr" rotWithShape="0">
                  <a:prstClr val="black">
                    <a:alpha val="20000"/>
                  </a:prstClr>
                </a:outerShdw>
              </a:effectLst>
              <a:sp3d/>
            </c:spPr>
          </c:dPt>
          <c:dPt>
            <c:idx val="3"/>
            <c:bubble3D val="0"/>
            <c:spPr>
              <a:solidFill>
                <a:schemeClr val="accent5">
                  <a:shade val="58000"/>
                </a:schemeClr>
              </a:solidFill>
              <a:ln>
                <a:noFill/>
              </a:ln>
              <a:effectLst>
                <a:outerShdw blurRad="254000" sx="102000" sy="102000" algn="ctr" rotWithShape="0">
                  <a:prstClr val="black">
                    <a:alpha val="20000"/>
                  </a:prstClr>
                </a:outerShdw>
              </a:effectLst>
              <a:sp3d/>
            </c:spPr>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ru-RU"/>
              </a:p>
            </c:txPr>
            <c:dLblPos val="ctr"/>
            <c:showLegendKey val="0"/>
            <c:showVal val="1"/>
            <c:showCatName val="0"/>
            <c:showSerName val="0"/>
            <c:showPercent val="0"/>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Лист1!$A$2:$A$5</c:f>
              <c:strCache>
                <c:ptCount val="4"/>
                <c:pt idx="0">
                  <c:v>Федеральный бюджет</c:v>
                </c:pt>
                <c:pt idx="1">
                  <c:v>Бюджет автономного округа</c:v>
                </c:pt>
                <c:pt idx="2">
                  <c:v>Бюджет муниципальных образований</c:v>
                </c:pt>
                <c:pt idx="3">
                  <c:v>Иные внебюджетные источники</c:v>
                </c:pt>
              </c:strCache>
            </c:strRef>
          </c:cat>
          <c:val>
            <c:numRef>
              <c:f>Лист1!$C$2:$C$5</c:f>
              <c:numCache>
                <c:formatCode>#,##0.0</c:formatCode>
                <c:ptCount val="4"/>
                <c:pt idx="0">
                  <c:v>0.73542529783733424</c:v>
                </c:pt>
                <c:pt idx="1">
                  <c:v>29.499276468372749</c:v>
                </c:pt>
                <c:pt idx="2">
                  <c:v>6.1351517434138803</c:v>
                </c:pt>
                <c:pt idx="3">
                  <c:v>63.630146490376035</c:v>
                </c:pt>
              </c:numCache>
            </c:numRef>
          </c:val>
        </c:ser>
        <c:dLbls>
          <c:dLblPos val="ctr"/>
          <c:showLegendKey val="0"/>
          <c:showVal val="1"/>
          <c:showCatName val="0"/>
          <c:showSerName val="0"/>
          <c:showPercent val="0"/>
          <c:showBubbleSize val="0"/>
          <c:showLeaderLines val="1"/>
        </c:dLbls>
      </c:pie3D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u-RU"/>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0"/>
    </c:view3D>
    <c:floor>
      <c:thickness val="0"/>
    </c:floor>
    <c:sideWall>
      <c:thickness val="0"/>
    </c:sideWall>
    <c:backWall>
      <c:thickness val="0"/>
    </c:backWall>
    <c:plotArea>
      <c:layout>
        <c:manualLayout>
          <c:layoutTarget val="inner"/>
          <c:xMode val="edge"/>
          <c:yMode val="edge"/>
          <c:x val="5.6129023617579356E-2"/>
          <c:y val="5.3349485160508782E-2"/>
          <c:w val="0.60000775855977728"/>
          <c:h val="0.87475974157076519"/>
        </c:manualLayout>
      </c:layout>
      <c:bar3DChart>
        <c:barDir val="col"/>
        <c:grouping val="standard"/>
        <c:varyColors val="0"/>
        <c:ser>
          <c:idx val="0"/>
          <c:order val="0"/>
          <c:tx>
            <c:strRef>
              <c:f>Лист2!$B$7</c:f>
              <c:strCache>
                <c:ptCount val="1"/>
                <c:pt idx="0">
                  <c:v>Электропотребление, млрд. кВт·ч</c:v>
                </c:pt>
              </c:strCache>
            </c:strRef>
          </c:tx>
          <c:invertIfNegative val="0"/>
          <c:cat>
            <c:strRef>
              <c:f>Лист2!$C$6:$H$6</c:f>
              <c:strCache>
                <c:ptCount val="6"/>
                <c:pt idx="0">
                  <c:v>2009 г.</c:v>
                </c:pt>
                <c:pt idx="1">
                  <c:v>2010 г.</c:v>
                </c:pt>
                <c:pt idx="2">
                  <c:v>2011 г.</c:v>
                </c:pt>
                <c:pt idx="3">
                  <c:v>2012 г.</c:v>
                </c:pt>
                <c:pt idx="4">
                  <c:v>2013 г.</c:v>
                </c:pt>
                <c:pt idx="5">
                  <c:v>2014 г.</c:v>
                </c:pt>
              </c:strCache>
            </c:strRef>
          </c:cat>
          <c:val>
            <c:numRef>
              <c:f>Лист2!$C$7:$H$7</c:f>
              <c:numCache>
                <c:formatCode>General</c:formatCode>
                <c:ptCount val="6"/>
                <c:pt idx="0">
                  <c:v>63.9</c:v>
                </c:pt>
                <c:pt idx="1">
                  <c:v>64.7</c:v>
                </c:pt>
                <c:pt idx="2">
                  <c:v>65.2</c:v>
                </c:pt>
                <c:pt idx="3">
                  <c:v>65.8</c:v>
                </c:pt>
                <c:pt idx="4">
                  <c:v>69</c:v>
                </c:pt>
                <c:pt idx="5">
                  <c:v>70.599999999999994</c:v>
                </c:pt>
              </c:numCache>
            </c:numRef>
          </c:val>
        </c:ser>
        <c:ser>
          <c:idx val="1"/>
          <c:order val="1"/>
          <c:tx>
            <c:strRef>
              <c:f>Лист2!$B$8</c:f>
              <c:strCache>
                <c:ptCount val="1"/>
                <c:pt idx="0">
                  <c:v>Выработка, млрд. кВт·ч</c:v>
                </c:pt>
              </c:strCache>
            </c:strRef>
          </c:tx>
          <c:invertIfNegative val="0"/>
          <c:cat>
            <c:strRef>
              <c:f>Лист2!$C$6:$H$6</c:f>
              <c:strCache>
                <c:ptCount val="6"/>
                <c:pt idx="0">
                  <c:v>2009 г.</c:v>
                </c:pt>
                <c:pt idx="1">
                  <c:v>2010 г.</c:v>
                </c:pt>
                <c:pt idx="2">
                  <c:v>2011 г.</c:v>
                </c:pt>
                <c:pt idx="3">
                  <c:v>2012 г.</c:v>
                </c:pt>
                <c:pt idx="4">
                  <c:v>2013 г.</c:v>
                </c:pt>
                <c:pt idx="5">
                  <c:v>2014 г.</c:v>
                </c:pt>
              </c:strCache>
            </c:strRef>
          </c:cat>
          <c:val>
            <c:numRef>
              <c:f>Лист2!$C$8:$H$8</c:f>
              <c:numCache>
                <c:formatCode>General</c:formatCode>
                <c:ptCount val="6"/>
                <c:pt idx="0">
                  <c:v>74.5</c:v>
                </c:pt>
                <c:pt idx="1">
                  <c:v>77.7</c:v>
                </c:pt>
                <c:pt idx="2">
                  <c:v>81.8</c:v>
                </c:pt>
                <c:pt idx="3">
                  <c:v>81.099999999999994</c:v>
                </c:pt>
                <c:pt idx="4">
                  <c:v>86.6</c:v>
                </c:pt>
                <c:pt idx="5">
                  <c:v>89.1</c:v>
                </c:pt>
              </c:numCache>
            </c:numRef>
          </c:val>
        </c:ser>
        <c:dLbls>
          <c:showLegendKey val="0"/>
          <c:showVal val="0"/>
          <c:showCatName val="0"/>
          <c:showSerName val="0"/>
          <c:showPercent val="0"/>
          <c:showBubbleSize val="0"/>
        </c:dLbls>
        <c:gapWidth val="150"/>
        <c:shape val="cylinder"/>
        <c:axId val="424745136"/>
        <c:axId val="424748272"/>
        <c:axId val="419344144"/>
      </c:bar3DChart>
      <c:catAx>
        <c:axId val="424745136"/>
        <c:scaling>
          <c:orientation val="minMax"/>
        </c:scaling>
        <c:delete val="0"/>
        <c:axPos val="b"/>
        <c:numFmt formatCode="General" sourceLinked="0"/>
        <c:majorTickMark val="out"/>
        <c:minorTickMark val="none"/>
        <c:tickLblPos val="nextTo"/>
        <c:crossAx val="424748272"/>
        <c:crosses val="autoZero"/>
        <c:auto val="1"/>
        <c:lblAlgn val="ctr"/>
        <c:lblOffset val="100"/>
        <c:noMultiLvlLbl val="0"/>
      </c:catAx>
      <c:valAx>
        <c:axId val="424748272"/>
        <c:scaling>
          <c:orientation val="minMax"/>
        </c:scaling>
        <c:delete val="0"/>
        <c:axPos val="l"/>
        <c:majorGridlines/>
        <c:numFmt formatCode="General" sourceLinked="1"/>
        <c:majorTickMark val="out"/>
        <c:minorTickMark val="none"/>
        <c:tickLblPos val="nextTo"/>
        <c:crossAx val="424745136"/>
        <c:crosses val="autoZero"/>
        <c:crossBetween val="between"/>
      </c:valAx>
      <c:serAx>
        <c:axId val="419344144"/>
        <c:scaling>
          <c:orientation val="minMax"/>
        </c:scaling>
        <c:delete val="1"/>
        <c:axPos val="b"/>
        <c:majorTickMark val="out"/>
        <c:minorTickMark val="none"/>
        <c:tickLblPos val="nextTo"/>
        <c:crossAx val="424748272"/>
        <c:crosses val="autoZero"/>
      </c:serAx>
    </c:plotArea>
    <c:legend>
      <c:legendPos val="r"/>
      <c:overlay val="0"/>
    </c:legend>
    <c:plotVisOnly val="1"/>
    <c:dispBlanksAs val="gap"/>
    <c:showDLblsOverMax val="0"/>
  </c:chart>
  <c:spPr>
    <a:ln>
      <a:noFill/>
    </a:ln>
  </c:spPr>
  <c:txPr>
    <a:bodyPr/>
    <a:lstStyle/>
    <a:p>
      <a:pPr algn="ctr">
        <a:defRPr sz="1100" b="0">
          <a:latin typeface="Times New Roman" panose="02020603050405020304" pitchFamily="18" charset="0"/>
          <a:cs typeface="Times New Roman" panose="02020603050405020304" pitchFamily="18" charset="0"/>
        </a:defRPr>
      </a:pPr>
      <a:endParaRPr lang="ru-RU"/>
    </a:p>
  </c:tx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0"/>
    </c:view3D>
    <c:floor>
      <c:thickness val="0"/>
    </c:floor>
    <c:sideWall>
      <c:thickness val="0"/>
    </c:sideWall>
    <c:backWall>
      <c:thickness val="0"/>
    </c:backWall>
    <c:plotArea>
      <c:layout>
        <c:manualLayout>
          <c:layoutTarget val="inner"/>
          <c:xMode val="edge"/>
          <c:yMode val="edge"/>
          <c:x val="5.157377653875872E-2"/>
          <c:y val="6.1687831572517546E-2"/>
          <c:w val="0.62718351123382909"/>
          <c:h val="0.87678042783425936"/>
        </c:manualLayout>
      </c:layout>
      <c:bar3DChart>
        <c:barDir val="col"/>
        <c:grouping val="standard"/>
        <c:varyColors val="0"/>
        <c:ser>
          <c:idx val="0"/>
          <c:order val="0"/>
          <c:tx>
            <c:strRef>
              <c:f>Лист3!$C$10</c:f>
              <c:strCache>
                <c:ptCount val="1"/>
                <c:pt idx="0">
                  <c:v>Максимум нагрузки, ГВт</c:v>
                </c:pt>
              </c:strCache>
            </c:strRef>
          </c:tx>
          <c:invertIfNegative val="0"/>
          <c:cat>
            <c:strRef>
              <c:f>Лист3!$D$9:$I$9</c:f>
              <c:strCache>
                <c:ptCount val="6"/>
                <c:pt idx="0">
                  <c:v>2009 г.</c:v>
                </c:pt>
                <c:pt idx="1">
                  <c:v>2010 г.</c:v>
                </c:pt>
                <c:pt idx="2">
                  <c:v>2011 г.</c:v>
                </c:pt>
                <c:pt idx="3">
                  <c:v>2012 г.</c:v>
                </c:pt>
                <c:pt idx="4">
                  <c:v>2013 г.</c:v>
                </c:pt>
                <c:pt idx="5">
                  <c:v>2014 г.</c:v>
                </c:pt>
              </c:strCache>
            </c:strRef>
          </c:cat>
          <c:val>
            <c:numRef>
              <c:f>Лист3!$D$10:$I$10</c:f>
              <c:numCache>
                <c:formatCode>General</c:formatCode>
                <c:ptCount val="6"/>
                <c:pt idx="0">
                  <c:v>8.4</c:v>
                </c:pt>
                <c:pt idx="1">
                  <c:v>8.1999999999999993</c:v>
                </c:pt>
                <c:pt idx="2">
                  <c:v>8.3000000000000007</c:v>
                </c:pt>
                <c:pt idx="3">
                  <c:v>8.4</c:v>
                </c:pt>
                <c:pt idx="4">
                  <c:v>8.8000000000000007</c:v>
                </c:pt>
                <c:pt idx="5">
                  <c:v>9</c:v>
                </c:pt>
              </c:numCache>
            </c:numRef>
          </c:val>
        </c:ser>
        <c:ser>
          <c:idx val="1"/>
          <c:order val="1"/>
          <c:tx>
            <c:strRef>
              <c:f>Лист3!$C$11</c:f>
              <c:strCache>
                <c:ptCount val="1"/>
                <c:pt idx="0">
                  <c:v>Установленная мощность, ГВт</c:v>
                </c:pt>
              </c:strCache>
            </c:strRef>
          </c:tx>
          <c:invertIfNegative val="0"/>
          <c:cat>
            <c:strRef>
              <c:f>Лист3!$D$9:$I$9</c:f>
              <c:strCache>
                <c:ptCount val="6"/>
                <c:pt idx="0">
                  <c:v>2009 г.</c:v>
                </c:pt>
                <c:pt idx="1">
                  <c:v>2010 г.</c:v>
                </c:pt>
                <c:pt idx="2">
                  <c:v>2011 г.</c:v>
                </c:pt>
                <c:pt idx="3">
                  <c:v>2012 г.</c:v>
                </c:pt>
                <c:pt idx="4">
                  <c:v>2013 г.</c:v>
                </c:pt>
                <c:pt idx="5">
                  <c:v>2014 г.</c:v>
                </c:pt>
              </c:strCache>
            </c:strRef>
          </c:cat>
          <c:val>
            <c:numRef>
              <c:f>Лист3!$D$11:$I$11</c:f>
              <c:numCache>
                <c:formatCode>General</c:formatCode>
                <c:ptCount val="6"/>
                <c:pt idx="0">
                  <c:v>10.5</c:v>
                </c:pt>
                <c:pt idx="1">
                  <c:v>10.9</c:v>
                </c:pt>
                <c:pt idx="2">
                  <c:v>11.7</c:v>
                </c:pt>
                <c:pt idx="3">
                  <c:v>11.9</c:v>
                </c:pt>
                <c:pt idx="4">
                  <c:v>12.9</c:v>
                </c:pt>
                <c:pt idx="5">
                  <c:v>13.9</c:v>
                </c:pt>
              </c:numCache>
            </c:numRef>
          </c:val>
        </c:ser>
        <c:dLbls>
          <c:showLegendKey val="0"/>
          <c:showVal val="0"/>
          <c:showCatName val="0"/>
          <c:showSerName val="0"/>
          <c:showPercent val="0"/>
          <c:showBubbleSize val="0"/>
        </c:dLbls>
        <c:gapWidth val="150"/>
        <c:shape val="box"/>
        <c:axId val="424748664"/>
        <c:axId val="424745920"/>
        <c:axId val="416945168"/>
      </c:bar3DChart>
      <c:catAx>
        <c:axId val="424748664"/>
        <c:scaling>
          <c:orientation val="minMax"/>
        </c:scaling>
        <c:delete val="0"/>
        <c:axPos val="b"/>
        <c:numFmt formatCode="General" sourceLinked="0"/>
        <c:majorTickMark val="out"/>
        <c:minorTickMark val="none"/>
        <c:tickLblPos val="nextTo"/>
        <c:crossAx val="424745920"/>
        <c:crosses val="autoZero"/>
        <c:auto val="1"/>
        <c:lblAlgn val="ctr"/>
        <c:lblOffset val="100"/>
        <c:noMultiLvlLbl val="0"/>
      </c:catAx>
      <c:valAx>
        <c:axId val="424745920"/>
        <c:scaling>
          <c:orientation val="minMax"/>
        </c:scaling>
        <c:delete val="0"/>
        <c:axPos val="l"/>
        <c:majorGridlines/>
        <c:numFmt formatCode="General" sourceLinked="1"/>
        <c:majorTickMark val="out"/>
        <c:minorTickMark val="none"/>
        <c:tickLblPos val="nextTo"/>
        <c:crossAx val="424748664"/>
        <c:crosses val="autoZero"/>
        <c:crossBetween val="between"/>
      </c:valAx>
      <c:serAx>
        <c:axId val="416945168"/>
        <c:scaling>
          <c:orientation val="minMax"/>
        </c:scaling>
        <c:delete val="1"/>
        <c:axPos val="b"/>
        <c:majorTickMark val="out"/>
        <c:minorTickMark val="none"/>
        <c:tickLblPos val="nextTo"/>
        <c:crossAx val="424745920"/>
        <c:crosses val="autoZero"/>
      </c:serAx>
    </c:plotArea>
    <c:legend>
      <c:legendPos val="r"/>
      <c:overlay val="0"/>
    </c:legend>
    <c:plotVisOnly val="1"/>
    <c:dispBlanksAs val="gap"/>
    <c:showDLblsOverMax val="0"/>
  </c:chart>
  <c:spPr>
    <a:ln>
      <a:noFill/>
    </a:ln>
  </c:spPr>
  <c:txPr>
    <a:bodyPr/>
    <a:lstStyle/>
    <a:p>
      <a:pPr>
        <a:defRPr sz="1100">
          <a:latin typeface="Times New Roman" panose="02020603050405020304" pitchFamily="18" charset="0"/>
          <a:cs typeface="Times New Roman" panose="02020603050405020304" pitchFamily="18" charset="0"/>
        </a:defRPr>
      </a:pPr>
      <a:endParaRPr lang="ru-RU"/>
    </a:p>
  </c:txPr>
  <c:externalData r:id="rId2">
    <c:autoUpdate val="0"/>
  </c:externalData>
  <c:userShapes r:id="rId3"/>
</c:chartSpace>
</file>

<file path=word/charts/colors1.xml><?xml version="1.0" encoding="utf-8"?>
<cs:colorStyle xmlns:cs="http://schemas.microsoft.com/office/drawing/2012/chartStyle" xmlns:a="http://schemas.openxmlformats.org/drawingml/2006/main" meth="withinLinearReversed" id="25">
  <a:schemeClr val="accent5"/>
</cs:colorStyle>
</file>

<file path=word/charts/style1.xml><?xml version="1.0" encoding="utf-8"?>
<cs:chartStyle xmlns:cs="http://schemas.microsoft.com/office/drawing/2012/chartStyle" xmlns:a="http://schemas.openxmlformats.org/drawingml/2006/main" id="264">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drawings/drawing1.xml><?xml version="1.0" encoding="utf-8"?>
<c:userShapes xmlns:c="http://schemas.openxmlformats.org/drawingml/2006/chart">
  <cdr:relSizeAnchor xmlns:cdr="http://schemas.openxmlformats.org/drawingml/2006/chartDrawing">
    <cdr:from>
      <cdr:x>0</cdr:x>
      <cdr:y>0.0024</cdr:y>
    </cdr:from>
    <cdr:to>
      <cdr:x>1</cdr:x>
      <cdr:y>0.10337</cdr:y>
    </cdr:to>
    <cdr:sp macro="" textlink="">
      <cdr:nvSpPr>
        <cdr:cNvPr id="7" name="TextBox 6"/>
        <cdr:cNvSpPr txBox="1"/>
      </cdr:nvSpPr>
      <cdr:spPr>
        <a:xfrm xmlns:a="http://schemas.openxmlformats.org/drawingml/2006/main">
          <a:off x="0" y="9524"/>
          <a:ext cx="6496051" cy="400051"/>
        </a:xfrm>
        <a:prstGeom xmlns:a="http://schemas.openxmlformats.org/drawingml/2006/main" prst="rect">
          <a:avLst/>
        </a:prstGeom>
      </cdr:spPr>
      <cdr:txBody>
        <a:bodyPr xmlns:a="http://schemas.openxmlformats.org/drawingml/2006/main" vertOverflow="clip" wrap="none" rtlCol="0" anchor="ctr"/>
        <a:lstStyle xmlns:a="http://schemas.openxmlformats.org/drawingml/2006/main"/>
        <a:p xmlns:a="http://schemas.openxmlformats.org/drawingml/2006/main">
          <a:pPr algn="ctr"/>
          <a:r>
            <a:rPr lang="ru-RU" sz="1400" b="1">
              <a:effectLst/>
              <a:latin typeface="Times New Roman" panose="02020603050405020304" pitchFamily="18" charset="0"/>
              <a:ea typeface="+mn-ea"/>
              <a:cs typeface="Times New Roman" panose="02020603050405020304" pitchFamily="18" charset="0"/>
            </a:rPr>
            <a:t>Динамика производства и потребления электроэнергии</a:t>
          </a:r>
          <a:endParaRPr lang="ru-RU" sz="1400">
            <a:latin typeface="Times New Roman" panose="02020603050405020304" pitchFamily="18" charset="0"/>
            <a:cs typeface="Times New Roman" panose="02020603050405020304" pitchFamily="18"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0.00143</cdr:x>
      <cdr:y>0</cdr:y>
    </cdr:from>
    <cdr:to>
      <cdr:x>1</cdr:x>
      <cdr:y>0.09206</cdr:y>
    </cdr:to>
    <cdr:sp macro="" textlink="">
      <cdr:nvSpPr>
        <cdr:cNvPr id="5" name="TextBox 4"/>
        <cdr:cNvSpPr txBox="1"/>
      </cdr:nvSpPr>
      <cdr:spPr>
        <a:xfrm xmlns:a="http://schemas.openxmlformats.org/drawingml/2006/main">
          <a:off x="9525" y="0"/>
          <a:ext cx="6657975" cy="381000"/>
        </a:xfrm>
        <a:prstGeom xmlns:a="http://schemas.openxmlformats.org/drawingml/2006/main" prst="rect">
          <a:avLst/>
        </a:prstGeom>
      </cdr:spPr>
      <cdr:txBody>
        <a:bodyPr xmlns:a="http://schemas.openxmlformats.org/drawingml/2006/main" vertOverflow="clip" wrap="none" rtlCol="0" anchor="ctr"/>
        <a:lstStyle xmlns:a="http://schemas.openxmlformats.org/drawingml/2006/main"/>
        <a:p xmlns:a="http://schemas.openxmlformats.org/drawingml/2006/main">
          <a:pPr algn="ctr"/>
          <a:r>
            <a:rPr lang="ru-RU" sz="1400" b="1">
              <a:effectLst/>
              <a:latin typeface="Times New Roman" panose="02020603050405020304" pitchFamily="18" charset="0"/>
              <a:ea typeface="+mn-ea"/>
              <a:cs typeface="Times New Roman" panose="02020603050405020304" pitchFamily="18" charset="0"/>
            </a:rPr>
            <a:t>Динамика изменения установленной мощности и максимальной нагрузки</a:t>
          </a:r>
          <a:endParaRPr lang="ru-RU" sz="1400">
            <a:latin typeface="Times New Roman" panose="02020603050405020304" pitchFamily="18" charset="0"/>
            <a:cs typeface="Times New Roman" panose="02020603050405020304" pitchFamily="18"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37</TotalTime>
  <Pages>19</Pages>
  <Words>3838</Words>
  <Characters>21881</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Юсупов Марат Салихович</dc:creator>
  <cp:keywords/>
  <dc:description/>
  <cp:lastModifiedBy>Юсупов Марат Салихович</cp:lastModifiedBy>
  <cp:revision>3</cp:revision>
  <cp:lastPrinted>2015-03-05T14:20:00Z</cp:lastPrinted>
  <dcterms:created xsi:type="dcterms:W3CDTF">2015-03-05T11:37:00Z</dcterms:created>
  <dcterms:modified xsi:type="dcterms:W3CDTF">2015-03-05T14:20:00Z</dcterms:modified>
</cp:coreProperties>
</file>